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 6915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 527/04;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el mismo es iniciado con nota presentada por el Sr. Pérez, Pedro Alberto D.N.I. Nº 7.965.501, domiciliado en Suipacha 1760, e hijo natural de la Sra. Cándida Antonia Pérez, ya fallecida; el cual solicita se le otorgue la eximición de la Tasa por Servicio a la Propiedad de la designación catastral Nº 03-01-233-006-000, y de Tasa por  Servicio de Administración y Mantenimiento de Cementerio respecto de la identificación Nº 1301;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Sr. Pérez posee un ingreso mensual de doscientos seis pesos con ochenta y dos centavos ($206,82) en concepto de jubilación;</w:t>
      </w:r>
    </w:p>
    <w:p>
      <w:pPr>
        <w:pStyle w:val="P2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tanto el Sr. Pérez como su esposa no gozan de buena salud según lo acreditan los correspondientes certificados médicos;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deuda que posee con el Municipio en concepto de los servicios detallados ut-supra es escasa;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del expediente se desprende que ha sido un contribuyente que ha pagado las cuotas acordadas en beneficios anteriores, salvo la deuda remanente;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socioeconómico realizado por la Lic. Silvina Bassola corrobora varios de los puntos expresados en el considerando;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de fecha 10 de junio de 2004.   </w:t>
      </w:r>
    </w:p>
    <w:p>
      <w:pPr>
        <w:pStyle w:val="P2"/>
        <w:ind w:hanging="1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</w:p>
    <w:p>
      <w:pPr>
        <w:pStyle w:val="P1"/>
        <w:ind w:firstLine="708" w:left="708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firstLine="708" w:left="708"/>
        <w:rPr>
          <w:sz w:val="24"/>
          <w:szCs w:val="24"/>
        </w:rPr>
      </w:pPr>
    </w:p>
    <w:p>
      <w:pPr>
        <w:pStyle w:val="P1"/>
        <w:ind w:firstLine="708" w:left="708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DEROGAR </w:t>
      </w:r>
      <w:r>
        <w:rPr>
          <w:sz w:val="24"/>
          <w:szCs w:val="24"/>
        </w:rPr>
        <w:t xml:space="preserve">la Ordenanza Nº6288 sancionada con fecha 26 de junio de 1996.  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EXIMIR </w:t>
      </w:r>
      <w:r>
        <w:rPr>
          <w:sz w:val="24"/>
          <w:szCs w:val="24"/>
        </w:rPr>
        <w:t>en un CIENTO POR CIENTO la deuda de Tasa por Servicio a la Propiedad existente, de la designación catastral Nº03-01-233-006-000.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 xml:space="preserve">: EXIMIR </w:t>
      </w:r>
      <w:r>
        <w:rPr>
          <w:sz w:val="24"/>
          <w:szCs w:val="24"/>
        </w:rPr>
        <w:t>en un CIENTO POR CIENTO la deuda de Tasa por Servicio de Administración y Mantenimiento de Cementerio de la identificación Nº1301.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Art.4</w:t>
      </w:r>
      <w:r>
        <w:rPr>
          <w:b w:val="1"/>
          <w:bCs w:val="1"/>
          <w:sz w:val="24"/>
          <w:szCs w:val="24"/>
        </w:rPr>
        <w:t xml:space="preserve">: EXIMIR </w:t>
      </w:r>
      <w:r>
        <w:rPr>
          <w:sz w:val="24"/>
          <w:szCs w:val="24"/>
        </w:rPr>
        <w:t>del pago de la Tasa por Servicio a la Propiedad de la designación catastral descripta en el Art.1 hasta diciembre de 2005 inclusive.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Art.5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EXIMIR </w:t>
      </w:r>
      <w:r>
        <w:rPr>
          <w:sz w:val="24"/>
          <w:szCs w:val="24"/>
        </w:rPr>
        <w:t>del pago de la Tasa por Servicios de Administración y Mantenimiento de Cementerio a la identificación Nº1301 hasta diciembre de 2005 inclusive.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Art.6</w:t>
      </w:r>
      <w:r>
        <w:rPr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 xml:space="preserve">EN </w:t>
      </w:r>
      <w:r>
        <w:rPr>
          <w:sz w:val="24"/>
          <w:szCs w:val="24"/>
        </w:rPr>
        <w:t>caso de transferencia o de cambiar la situación económica, el beneficio de los Arts. 4 y 5 de la presente ordenanza caducarán automáticamente.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Art.7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DIEZ DIAS DEL MES DE JUNIO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2026-07-09T19:33:56Z</dcterms:created>
  <cp:lastModifiedBy>Federico Parisi</cp:lastModifiedBy>
  <cp:lastPrinted>2004-07-01T13:52:00Z</cp:lastPrinted>
  <dcterms:modified xsi:type="dcterms:W3CDTF">2026-07-09T19:33:56Z</dcterms:modified>
  <cp:revision>2</cp:revision>
  <dc:title>1¾   «        M</dc:title>
</cp:coreProperties>
</file>