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6922</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La Ordenanza Nº 6541; y</w:t>
      </w: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hanging="1"/>
        <w:rPr>
          <w:rFonts w:ascii="Courier New" w:hAnsi="Courier New"/>
        </w:rPr>
      </w:pPr>
      <w:r>
        <w:rPr>
          <w:rFonts w:ascii="Courier New" w:hAnsi="Courier New"/>
        </w:rPr>
        <w:t xml:space="preserve">Que la misma prorrogó el plazo otorgado por la Ordenanza Nº5740 de un año de gracia al pago del canon de la concesión del Cementerio Parque a la Cooperativa Meridional Ltda; </w:t>
      </w:r>
    </w:p>
    <w:p>
      <w:pPr>
        <w:pStyle w:val="P2"/>
        <w:ind w:hanging="1"/>
        <w:rPr>
          <w:rFonts w:ascii="Courier New" w:hAnsi="Courier New"/>
        </w:rPr>
      </w:pPr>
    </w:p>
    <w:p>
      <w:pPr>
        <w:pStyle w:val="P2"/>
        <w:ind w:hanging="1"/>
        <w:rPr>
          <w:rFonts w:ascii="Courier New" w:hAnsi="Courier New"/>
        </w:rPr>
      </w:pPr>
      <w:r>
        <w:rPr>
          <w:rFonts w:ascii="Courier New" w:hAnsi="Courier New"/>
        </w:rPr>
        <w:t>Que mediante nota la Cooperativa Meridional solicita la realización de un convenio de reciprocidad que contemple el otorgamiento de dos años de gracia en el pago del canon y el otorgamiento de beneficios a las inhumaciones que necesite realizar el Municipio;</w:t>
      </w:r>
    </w:p>
    <w:p>
      <w:pPr>
        <w:pStyle w:val="P2"/>
        <w:rPr>
          <w:rFonts w:ascii="Courier New" w:hAnsi="Courier New"/>
        </w:rPr>
      </w:pPr>
    </w:p>
    <w:p>
      <w:pPr>
        <w:pStyle w:val="P2"/>
        <w:ind w:hanging="1"/>
        <w:rPr>
          <w:rFonts w:ascii="Courier New" w:hAnsi="Courier New"/>
        </w:rPr>
      </w:pPr>
      <w:r>
        <w:rPr>
          <w:rFonts w:ascii="Courier New" w:hAnsi="Courier New"/>
        </w:rPr>
        <w:t>Que se mantienen las condiciones que dieron origen a las Ordenanzas citadas, como surge de los informes presentados por la Cooperativa y evaluados por las áreas municipales correspondientes;</w:t>
      </w:r>
    </w:p>
    <w:p>
      <w:pPr>
        <w:pStyle w:val="P2"/>
        <w:ind w:hanging="1"/>
        <w:rPr>
          <w:rFonts w:ascii="Courier New" w:hAnsi="Courier New"/>
        </w:rPr>
      </w:pPr>
    </w:p>
    <w:p>
      <w:pPr>
        <w:pStyle w:val="P2"/>
        <w:ind w:hanging="1"/>
        <w:rPr>
          <w:rFonts w:ascii="Courier New" w:hAnsi="Courier New"/>
        </w:rPr>
      </w:pPr>
      <w:r>
        <w:rPr>
          <w:rFonts w:ascii="Courier New" w:hAnsi="Courier New"/>
        </w:rPr>
        <w:t>Que el Cementerio Municipal presenta problemas respecto a su ocupación que hace necesario que se generen alternativas de fácil acceso a la población y el Cementerio Parque cuenta con gran cantidad de parcelas sin ocupar.</w:t>
      </w: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p>
    <w:p>
      <w:pPr>
        <w:pStyle w:val="P1"/>
        <w:jc w:val="right"/>
        <w:rPr>
          <w:sz w:val="24"/>
          <w:szCs w:val="24"/>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AUTORIZASE </w:t>
      </w:r>
      <w:r>
        <w:rPr>
          <w:sz w:val="24"/>
          <w:szCs w:val="24"/>
        </w:rPr>
        <w:t>al Departamento Ejecutivo a firmar convenio de reciprocidad con la Cooperativa Meridional Ltda. en su carácter de concesionaria del Cementerio Parque Municipal de acuerdo al modelo que forma parte de la presente.</w:t>
      </w:r>
    </w:p>
    <w:p>
      <w:pPr>
        <w:pStyle w:val="P1"/>
        <w:ind w:hanging="709" w:left="709"/>
        <w:jc w:val="right"/>
        <w:rPr>
          <w:sz w:val="24"/>
          <w:szCs w:val="24"/>
        </w:rPr>
      </w:pPr>
      <w:r>
        <w:rPr>
          <w:sz w:val="24"/>
          <w:szCs w:val="24"/>
        </w:rPr>
        <w:t>...///</w:t>
      </w:r>
    </w:p>
    <w:p>
      <w:pPr>
        <w:pStyle w:val="P1"/>
        <w:ind w:hanging="709" w:left="567"/>
        <w:jc w:val="both"/>
        <w:rPr>
          <w:sz w:val="24"/>
          <w:szCs w:val="24"/>
        </w:rPr>
      </w:pPr>
    </w:p>
    <w:p>
      <w:pPr>
        <w:pStyle w:val="P1"/>
        <w:ind w:hanging="709" w:left="567"/>
        <w:jc w:val="both"/>
        <w:rPr>
          <w:sz w:val="24"/>
          <w:szCs w:val="24"/>
        </w:rPr>
      </w:pPr>
    </w:p>
    <w:p>
      <w:pPr>
        <w:pStyle w:val="P1"/>
        <w:ind w:hanging="709" w:left="567"/>
        <w:jc w:val="both"/>
        <w:rPr>
          <w:sz w:val="24"/>
          <w:szCs w:val="24"/>
        </w:rPr>
      </w:pPr>
    </w:p>
    <w:p>
      <w:pPr>
        <w:pStyle w:val="P1"/>
        <w:ind w:hanging="709" w:left="567"/>
        <w:jc w:val="both"/>
        <w:rPr>
          <w:sz w:val="24"/>
          <w:szCs w:val="24"/>
        </w:rPr>
      </w:pPr>
    </w:p>
    <w:p>
      <w:pPr>
        <w:pStyle w:val="P1"/>
        <w:ind w:hanging="709" w:left="567"/>
        <w:jc w:val="both"/>
        <w:rPr>
          <w:sz w:val="24"/>
          <w:szCs w:val="24"/>
        </w:rPr>
      </w:pPr>
    </w:p>
    <w:p>
      <w:pPr>
        <w:pStyle w:val="P1"/>
        <w:ind w:hanging="709" w:left="567"/>
        <w:jc w:val="both"/>
        <w:rPr>
          <w:sz w:val="24"/>
          <w:szCs w:val="24"/>
        </w:rPr>
      </w:pPr>
    </w:p>
    <w:p>
      <w:pPr>
        <w:pStyle w:val="P1"/>
        <w:ind w:hanging="567" w:left="567"/>
        <w:jc w:val="both"/>
        <w:rPr>
          <w:sz w:val="24"/>
          <w:szCs w:val="24"/>
        </w:rPr>
      </w:pPr>
    </w:p>
    <w:p>
      <w:pPr>
        <w:pStyle w:val="P1"/>
        <w:ind w:hanging="567" w:left="567"/>
        <w:jc w:val="both"/>
        <w:rPr>
          <w:sz w:val="24"/>
          <w:szCs w:val="24"/>
        </w:rPr>
      </w:pPr>
      <w:r>
        <w:rPr>
          <w:sz w:val="24"/>
          <w:szCs w:val="24"/>
        </w:rPr>
        <w:t>...///2.-</w:t>
      </w:r>
    </w:p>
    <w:p>
      <w:pPr>
        <w:pStyle w:val="P1"/>
        <w:ind w:hanging="709" w:left="567"/>
        <w:jc w:val="both"/>
        <w:rPr>
          <w:b w:val="1"/>
          <w:bCs w:val="1"/>
          <w:sz w:val="24"/>
          <w:szCs w:val="24"/>
          <w:u w:val="single"/>
        </w:rPr>
      </w:pPr>
    </w:p>
    <w:p>
      <w:pPr>
        <w:pStyle w:val="P1"/>
        <w:ind w:hanging="567" w:left="567"/>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COMUNÍQUESE</w:t>
      </w:r>
      <w:r>
        <w:rPr>
          <w:sz w:val="24"/>
          <w:szCs w:val="24"/>
        </w:rPr>
        <w:t>,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24"/>
          <w:szCs w:val="24"/>
        </w:rPr>
      </w:pPr>
      <w:r>
        <w:rPr>
          <w:b w:val="1"/>
          <w:bCs w:val="1"/>
          <w:sz w:val="24"/>
          <w:szCs w:val="24"/>
        </w:rPr>
        <w:t>DADA EN LA SALA DE SESIONES DEL HONORABLE CONCEJO DELIBERANTE A DIEZ DIAS DEL MES DE JUNIO DEL AÑO DOS MIL CUATRO.</w:t>
      </w:r>
    </w:p>
    <w:p>
      <w:pPr>
        <w:pStyle w:val="P1"/>
        <w:jc w:val="both"/>
        <w:rPr>
          <w:b w:val="1"/>
          <w:bCs w:val="1"/>
          <w:sz w:val="24"/>
          <w:szCs w:val="24"/>
        </w:rPr>
      </w:pPr>
    </w:p>
    <w:p>
      <w:pPr>
        <w:pStyle w:val="P1"/>
        <w:jc w:val="both"/>
        <w:rPr>
          <w:b w:val="1"/>
          <w:bCs w:val="1"/>
          <w:sz w:val="24"/>
          <w:szCs w:val="24"/>
        </w:rPr>
      </w:pPr>
    </w:p>
    <w:p>
      <w:pPr>
        <w:pStyle w:val="P3"/>
        <w:rPr>
          <w:b w:val="1"/>
          <w:bCs w:val="1"/>
        </w:rPr>
      </w:pPr>
      <w:r>
        <w:rPr>
          <w:b w:val="0"/>
          <w:bCs w:val="0"/>
        </w:rPr>
        <w:br w:type="page"/>
      </w:r>
    </w:p>
    <w:p>
      <w:pPr>
        <w:pStyle w:val="P3"/>
        <w:rPr>
          <w:b w:val="1"/>
          <w:bCs w:val="1"/>
        </w:rPr>
      </w:pPr>
    </w:p>
    <w:p>
      <w:pPr>
        <w:pStyle w:val="P3"/>
        <w:rPr>
          <w:rFonts w:ascii="Courier New" w:hAnsi="Courier New"/>
        </w:rPr>
      </w:pPr>
      <w:r>
        <w:rPr>
          <w:rFonts w:ascii="Courier New" w:hAnsi="Courier New"/>
        </w:rPr>
        <w:t xml:space="preserve">CONVENIO DE  RECIPROCIDAD</w:t>
      </w:r>
    </w:p>
    <w:p>
      <w:pPr>
        <w:rPr>
          <w:rFonts w:ascii="Courier New" w:hAnsi="Courier New"/>
          <w:b w:val="1"/>
          <w:bCs w:val="1"/>
          <w:sz w:val="24"/>
          <w:szCs w:val="24"/>
          <w:u w:val="single"/>
          <w:lang w:val="es-AR"/>
        </w:rPr>
      </w:pPr>
    </w:p>
    <w:p>
      <w:pPr>
        <w:pStyle w:val="P4"/>
        <w:rPr>
          <w:rFonts w:ascii="Courier New" w:hAnsi="Courier New"/>
        </w:rPr>
      </w:pPr>
      <w:r>
        <w:rPr>
          <w:rFonts w:ascii="Courier New" w:hAnsi="Courier New"/>
        </w:rPr>
        <w:t xml:space="preserve">Entre la Municipalidad de Alta Gracia (en adelante la Municipalidad), representada en este acto por el Sr. Intendente Municipal Lic. Mario Alberto Romero Bonfigli y la Cooperativa Meridional Ltda. (en adelante la Cooperativa) representada por su Presidente Sr. René Oscar Barragán por la otra, participan en este acto la Municipalidad en su carácter de propietaria del cementerio Parque Municipal y la Cooperativa en su carácter de concesionaria de la explotación de dicho Cementerio Parque, convienen en celebrar este convenio de reciprocidad de acuerdo a las cláusulas que a continuación se detallan. . . </w:t>
      </w:r>
    </w:p>
    <w:p>
      <w:pPr>
        <w:pStyle w:val="P4"/>
        <w:rPr>
          <w:rFonts w:ascii="Courier New" w:hAnsi="Courier New"/>
        </w:rPr>
      </w:pPr>
      <w:r>
        <w:rPr>
          <w:rFonts w:ascii="Courier New" w:hAnsi="Courier New"/>
          <w:u w:val="single"/>
        </w:rPr>
        <w:t>Primera</w:t>
      </w:r>
      <w:r>
        <w:rPr>
          <w:rFonts w:ascii="Courier New" w:hAnsi="Courier New"/>
        </w:rPr>
        <w:t xml:space="preserve">: la Municipalidad otorga a la Cooperativa un plazo de gracia de dos (2) años en el pago del canon correspondiente a la citada concesión, a contar desde el 31 de diciembre de 2003. . . . . . . . . . . . . . . . . . . .  </w:t>
      </w:r>
    </w:p>
    <w:p>
      <w:pPr>
        <w:pStyle w:val="P4"/>
        <w:rPr>
          <w:rFonts w:ascii="Courier New" w:hAnsi="Courier New"/>
        </w:rPr>
      </w:pPr>
      <w:r>
        <w:rPr>
          <w:rFonts w:ascii="Courier New" w:hAnsi="Courier New"/>
          <w:u w:val="single"/>
        </w:rPr>
        <w:t>Segunda</w:t>
      </w:r>
      <w:r>
        <w:rPr>
          <w:rFonts w:ascii="Courier New" w:hAnsi="Courier New"/>
        </w:rPr>
        <w:t xml:space="preserve">: la Cooperativa otorgará las parcelas gratuitas en el Cementerio Parque de los casos solicitados por la Municipalidad. . . . . . . . . . . . . . . . . . . . . . . </w:t>
      </w:r>
    </w:p>
    <w:p>
      <w:pPr>
        <w:pStyle w:val="P4"/>
        <w:rPr>
          <w:rFonts w:ascii="Courier New" w:hAnsi="Courier New"/>
        </w:rPr>
      </w:pPr>
      <w:r>
        <w:rPr>
          <w:rFonts w:ascii="Courier New" w:hAnsi="Courier New"/>
          <w:u w:val="single"/>
        </w:rPr>
        <w:t>Tercera</w:t>
      </w:r>
      <w:r>
        <w:rPr>
          <w:rFonts w:ascii="Courier New" w:hAnsi="Courier New"/>
        </w:rPr>
        <w:t xml:space="preserve">: los deudos de los beneficiarios solo deberán abonar los gastos de introducción o inhumación y/o traslado, el mármol y la placa reglamentaria y los gastos de mantenimiento normales a partir de la ocupación de la parcela. . . . . . . . . . . . . . . . . . . . . . . . . . </w:t>
      </w:r>
    </w:p>
    <w:p>
      <w:pPr>
        <w:pStyle w:val="P4"/>
        <w:rPr>
          <w:rFonts w:ascii="Courier New" w:hAnsi="Courier New"/>
        </w:rPr>
      </w:pPr>
      <w:r>
        <w:rPr>
          <w:rFonts w:ascii="Courier New" w:hAnsi="Courier New"/>
          <w:u w:val="single"/>
        </w:rPr>
        <w:t>Cuarta</w:t>
      </w:r>
      <w:r>
        <w:rPr>
          <w:rFonts w:ascii="Courier New" w:hAnsi="Courier New"/>
        </w:rPr>
        <w:t xml:space="preserve">: la Municipalidad tomara los recaudos necesarios para asegurar </w:t>
      </w:r>
      <w:r>
        <w:rPr>
          <w:rFonts w:ascii="Courier New" w:hAnsi="Courier New"/>
          <w:b w:val="1"/>
          <w:bCs w:val="1"/>
        </w:rPr>
        <w:t xml:space="preserve">la capacidad de pago </w:t>
      </w:r>
      <w:r>
        <w:rPr>
          <w:rFonts w:ascii="Courier New" w:hAnsi="Courier New"/>
        </w:rPr>
        <w:t xml:space="preserve">por parte de los deudos beneficiados con la parcela gratuita. . . . . . . . . . . . </w:t>
      </w:r>
    </w:p>
    <w:p>
      <w:pPr>
        <w:pStyle w:val="P4"/>
        <w:rPr>
          <w:rFonts w:ascii="Courier New" w:hAnsi="Courier New"/>
        </w:rPr>
      </w:pPr>
      <w:r>
        <w:rPr>
          <w:rFonts w:ascii="Courier New" w:hAnsi="Courier New"/>
          <w:u w:val="single"/>
        </w:rPr>
        <w:t>Quinta</w:t>
      </w:r>
      <w:r>
        <w:rPr>
          <w:rFonts w:ascii="Courier New" w:hAnsi="Courier New"/>
        </w:rPr>
        <w:t xml:space="preserve">: la Municipalidad a través de las áreas correspondientes quedara autorizada a ofrecer esta opción, dando prioridad a los casos de actuales ocupantes del Cementerio Municipal permitiendo de este modo ampliar su capacidad. . . . . . . . . . . . . . . . . . . . . . . . . </w:t>
      </w:r>
    </w:p>
    <w:p>
      <w:pPr>
        <w:pStyle w:val="P4"/>
        <w:rPr>
          <w:rFonts w:ascii="Courier New" w:hAnsi="Courier New"/>
        </w:rPr>
      </w:pPr>
      <w:r>
        <w:rPr>
          <w:rFonts w:ascii="Courier New" w:hAnsi="Courier New"/>
        </w:rPr>
        <w:t>Previa lectura y ratificación se firman dos (2) ejemplares de un mismo tenor y a un solo efecto en el lugar y fecha mencionados ut-supra. . . . . . . . . . . . . . . . . . . .</w:t>
      </w:r>
    </w:p>
    <w:p>
      <w:pPr>
        <w:pStyle w:val="P1"/>
        <w:jc w:val="both"/>
        <w:rPr>
          <w:b w:val="1"/>
          <w:bCs w:val="1"/>
          <w:sz w:val="52"/>
          <w:szCs w:val="52"/>
        </w:rPr>
      </w:pP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paragraph" w:styleId="P3">
    <w:name w:val="Title"/>
    <w:basedOn w:val="P0"/>
    <w:next w:val="P3"/>
    <w:pPr>
      <w:jc w:val="center"/>
    </w:pPr>
    <w:rPr>
      <w:b w:val="1"/>
      <w:bCs w:val="1"/>
      <w:sz w:val="24"/>
      <w:szCs w:val="24"/>
      <w:u w:val="single"/>
      <w:lang w:val="es-AR"/>
    </w:rPr>
  </w:style>
  <w:style w:type="paragraph" w:styleId="P4">
    <w:name w:val="Body Text"/>
    <w:basedOn w:val="P0"/>
    <w:next w:val="P4"/>
    <w:pPr>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2026-07-09T19:34:35Z</dcterms:created>
  <cp:lastModifiedBy>Federico Parisi</cp:lastModifiedBy>
  <cp:lastPrinted>2004-06-24T16:36:00Z</cp:lastPrinted>
  <dcterms:modified xsi:type="dcterms:W3CDTF">2026-07-09T19:34:35Z</dcterms:modified>
  <cp:revision>2</cp:revision>
  <dc:title>1¾   «        M</dc:title>
</cp:coreProperties>
</file>