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4"/>
        <w:rPr>
          <w:rFonts w:ascii="Courier New" w:hAnsi="Courier New"/>
          <w:color w:val="000000"/>
        </w:rPr>
      </w:pPr>
      <w:r>
        <w:rPr>
          <w:rFonts w:ascii="Courier New" w:hAnsi="Courier New"/>
        </w:rPr>
        <w:t xml:space="preserve">ORDENANZA  Nº  6927</w:t>
        <w:tab/>
      </w:r>
    </w:p>
    <w:p>
      <w:pPr>
        <w:jc w:val="center"/>
        <w:rPr>
          <w:rFonts w:ascii="Courier New" w:hAnsi="Courier New"/>
          <w:sz w:val="24"/>
          <w:szCs w:val="24"/>
        </w:rPr>
      </w:pPr>
    </w:p>
    <w:p>
      <w:pPr>
        <w:jc w:val="center"/>
        <w:rPr>
          <w:rFonts w:ascii="Courier New" w:hAnsi="Courier New"/>
          <w:sz w:val="24"/>
          <w:szCs w:val="24"/>
        </w:rPr>
      </w:pPr>
    </w:p>
    <w:p>
      <w:pPr>
        <w:jc w:val="center"/>
        <w:rPr>
          <w:rFonts w:ascii="Courier New" w:hAnsi="Courier New"/>
          <w:sz w:val="24"/>
          <w:szCs w:val="24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Nº 508/03; y </w:t>
      </w:r>
    </w:p>
    <w:p>
      <w:pPr>
        <w:pStyle w:val="P5"/>
      </w:pPr>
    </w:p>
    <w:p/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>Que la solicitante .....el estudio socioeconómico realizado indica que la solicitante vive con su madre muy enferma, subsistiendo con modestos ingresos;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>Que los informes de las distintas áreas reconocen la existencia de una deuda, que en su mayoría ha sido saldada;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>Que la vivienda en cuestión es bastante humilde;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>Que la solicitante vive con su madre muy enferma, y ámbas herederas de la propiedad donde habitan;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 xml:space="preserve">Que no posee un ingreso fijo que cubran sus necesidades básicas; 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>Que se registra una intensión de pago de las obligaciones con el municipio con un monto razonable y accesible.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>ALTA GRACIA SANCIONA CON FUERZA DE ORDENANZA</w:t>
      </w: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Art.1:</w:t>
      </w:r>
      <w:r>
        <w:rPr>
          <w:b w:val="1"/>
          <w:bCs w:val="1"/>
          <w:sz w:val="24"/>
          <w:szCs w:val="24"/>
        </w:rPr>
        <w:t xml:space="preserve"> EXIMIR </w:t>
      </w:r>
      <w:r>
        <w:rPr>
          <w:sz w:val="24"/>
          <w:szCs w:val="24"/>
        </w:rPr>
        <w:t xml:space="preserve"> en un cien por ciento (100%) la deuda que a la fecha mantiene con el municipio en concepto de Tasa por Servicios  a la Propiedad al inmueble designación catastral 03–01-151-021-000 y Tasa por Servicios de Administración y Mantenimiento de los Cementerios, identificación Nº 006387, conforme a lo establecido en la Ordenanza Nº 5485.</w:t>
      </w: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  <w:r>
        <w:rPr>
          <w:sz w:val="24"/>
          <w:szCs w:val="24"/>
        </w:rPr>
        <w:t xml:space="preserve">                                                       </w:t>
      </w: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</w:t>
      </w: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sz w:val="24"/>
          <w:szCs w:val="24"/>
        </w:rPr>
        <w:t>:</w:t>
      </w:r>
      <w:r>
        <w:rPr>
          <w:b w:val="1"/>
          <w:bCs w:val="1"/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FIJAR </w:t>
      </w:r>
      <w:r>
        <w:rPr>
          <w:sz w:val="24"/>
          <w:szCs w:val="24"/>
        </w:rPr>
        <w:t>como cuota mensual a abonar en concepto de Tasa por Servicios a la Propiedad desde la promulgación de la presente Ordenanza y hasta el 31 de diciembre de 2005 inclusive, la suma de PESOS SEIS ($6) al inmueble designación catastral 03-01-151-021-000 conforme a lo establecido en la Ordenanza Nº 5485 siempre que se mantengan las condiciones que fundamentan la presente.</w:t>
      </w: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EN</w:t>
      </w:r>
      <w:r>
        <w:rPr>
          <w:sz w:val="24"/>
          <w:szCs w:val="24"/>
        </w:rPr>
        <w:t xml:space="preserve"> caso de transferencia del inmueble designación catastral 03-01-151-021-000 el beneficio otorgado en los Art. 1 y 2 de la presente ordenanza  caducará en forma automática.</w:t>
      </w:r>
    </w:p>
    <w:p>
      <w:pPr>
        <w:ind w:hanging="709" w:left="709"/>
        <w:jc w:val="right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Art.4</w:t>
      </w:r>
      <w:r>
        <w:rPr>
          <w:rFonts w:ascii="Courier New" w:hAnsi="Courier New"/>
          <w:b w:val="1"/>
          <w:bCs w:val="1"/>
          <w:sz w:val="24"/>
          <w:szCs w:val="24"/>
        </w:rPr>
        <w:t>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</w:rPr>
        <w:t>COMUNÍQUESE,</w:t>
      </w:r>
      <w:r>
        <w:rPr>
          <w:rFonts w:ascii="Courier New" w:hAnsi="Courier New"/>
          <w:sz w:val="24"/>
          <w:szCs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  <w:r>
        <w:rPr>
          <w:rFonts w:ascii="Courier New" w:hAnsi="Courier New"/>
        </w:rPr>
        <w:t>DADA EN LA SALA DE SESIONES DEL HONORABLE CONCEJO DELIBERANTE A LOS DIECISIETE DIAS DEL MES DE JUNIO DEL AÑO DOS MIL CUATRO.</w:t>
      </w: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sectPr>
      <w:type w:val="nextPage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Heading 1"/>
    <w:basedOn w:val="P0"/>
    <w:next w:val="P0"/>
    <w:pPr>
      <w:keepNext w:val="1"/>
      <w:ind w:left="709"/>
      <w:jc w:val="center"/>
      <w:outlineLvl w:val="0"/>
    </w:pPr>
    <w:rPr>
      <w:b w:val="1"/>
      <w:bCs w:val="1"/>
      <w:sz w:val="24"/>
      <w:szCs w:val="24"/>
    </w:rPr>
  </w:style>
  <w:style w:type="paragraph" w:styleId="P2">
    <w:name w:val="Header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Footer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itle"/>
    <w:basedOn w:val="P0"/>
    <w:next w:val="P4"/>
    <w:pPr>
      <w:jc w:val="center"/>
    </w:pPr>
    <w:rPr>
      <w:b w:val="1"/>
      <w:bCs w:val="1"/>
      <w:sz w:val="24"/>
      <w:szCs w:val="24"/>
      <w:u w:val="single"/>
    </w:rPr>
  </w:style>
  <w:style w:type="paragraph" w:styleId="P5">
    <w:name w:val="Body Text Indent"/>
    <w:basedOn w:val="P0"/>
    <w:next w:val="P5"/>
    <w:pPr>
      <w:ind w:hanging="709" w:left="709"/>
      <w:jc w:val="both"/>
    </w:pPr>
    <w:rPr>
      <w:sz w:val="24"/>
      <w:szCs w:val="24"/>
    </w:rPr>
  </w:style>
  <w:style w:type="paragraph" w:styleId="P6">
    <w:name w:val="Body Text Indent 2"/>
    <w:basedOn w:val="P0"/>
    <w:next w:val="P6"/>
    <w:pPr>
      <w:ind w:left="709"/>
      <w:jc w:val="both"/>
    </w:pPr>
    <w:rPr>
      <w:sz w:val="24"/>
      <w:szCs w:val="24"/>
    </w:rPr>
  </w:style>
  <w:style w:type="paragraph" w:styleId="P7">
    <w:name w:val="Body Text"/>
    <w:basedOn w:val="P0"/>
    <w:next w:val="P7"/>
    <w:pPr>
      <w:jc w:val="both"/>
    </w:pPr>
    <w:rPr>
      <w:b w:val="1"/>
      <w:bCs w:val="1"/>
      <w:sz w:val="24"/>
      <w:szCs w:val="24"/>
    </w:rPr>
  </w:style>
  <w:style w:type="paragraph" w:styleId="P8">
    <w:name w:val="Plain Text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todos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2026-07-09T19:35:14Z</dcterms:created>
  <cp:lastModifiedBy>Federico Parisi</cp:lastModifiedBy>
  <cp:lastPrinted>2003-08-12T06:26:00Z</cp:lastPrinted>
  <dcterms:modified xsi:type="dcterms:W3CDTF">2026-07-09T19:35:14Z</dcterms:modified>
  <cp:revision>2</cp:revision>
  <dc:title>ORDENANZA  Nº  5354</dc:title>
</cp:coreProperties>
</file>