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6940</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Nº353/02;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Mandía, Elena L.C. Nº1.567.859, domiciliada en calle El Cañito Nº95, en la cual solicita reveer la Tasa municipal que incide sobre un panteón ubicado en el Cementerio de Alta Gracia, Identificación Nº272; </w:t>
      </w:r>
    </w:p>
    <w:p>
      <w:pPr>
        <w:pStyle w:val="P2"/>
        <w:ind w:hanging="1"/>
        <w:rPr>
          <w:rFonts w:ascii="Courier New" w:hAnsi="Courier New"/>
        </w:rPr>
      </w:pPr>
    </w:p>
    <w:p>
      <w:pPr>
        <w:pStyle w:val="P2"/>
        <w:ind w:hanging="1"/>
        <w:rPr>
          <w:rFonts w:ascii="Courier New" w:hAnsi="Courier New"/>
        </w:rPr>
      </w:pPr>
      <w:r>
        <w:rPr>
          <w:rFonts w:ascii="Courier New" w:hAnsi="Courier New"/>
        </w:rPr>
        <w:t>Que hasta la 2º cuota del año 1997, le correspondía la Tasa tributaria que fija la Ordenanza Tarifaria en su Capítulo 6 Art.23, inc.1, monto a tributar hasta 15 m2.;</w:t>
      </w:r>
    </w:p>
    <w:p>
      <w:pPr>
        <w:pStyle w:val="P2"/>
        <w:ind w:hanging="1"/>
        <w:rPr>
          <w:rFonts w:ascii="Courier New" w:hAnsi="Courier New"/>
        </w:rPr>
      </w:pPr>
    </w:p>
    <w:p>
      <w:pPr>
        <w:pStyle w:val="P2"/>
        <w:ind w:hanging="1"/>
        <w:rPr>
          <w:rFonts w:ascii="Courier New" w:hAnsi="Courier New"/>
        </w:rPr>
      </w:pPr>
      <w:r>
        <w:rPr>
          <w:rFonts w:ascii="Courier New" w:hAnsi="Courier New"/>
        </w:rPr>
        <w:t>Que desde la 3º cuota del año 1997, hasta la presentación de la nota, la Tasa tributaria pasó a tributar un monto correspondiente a más de 15 m2;</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a fs.14 la Administración de Cementerios informa que  el panteón de referencia posee una superficie cubierta de aproximadamente 15,12 m2;</w:t>
      </w:r>
    </w:p>
    <w:p>
      <w:pPr>
        <w:pStyle w:val="P2"/>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01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r>
        <w:rPr>
          <w:sz w:val="24"/>
          <w:szCs w:val="24"/>
        </w:rPr>
        <w:t>...///</w:t>
      </w: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en un CUARENTA POR CIENTO (40%) a valor histórico la deuda que mantiene la Identificación Nº272 por Tasa de Administración y Mantenimiento de los Cementerios, hasta la promulgación de la presente Ordenanza.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FIJAR</w:t>
      </w:r>
      <w:r>
        <w:rPr>
          <w:sz w:val="24"/>
          <w:szCs w:val="24"/>
        </w:rPr>
        <w:t xml:space="preserve"> como Tasa tributaria bimestral la que fija la Ordenanza Tarifaria en su Capítulo 6, Art.23, inc.1, para superficie de hasta 15 m2, a partir de la promulgación de la presente, para la Identificación expresada en el Art.1 de la presente Ordenanza.</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UN DIA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2026-07-09T19:36:26Z</dcterms:created>
  <cp:lastModifiedBy>Federico Parisi</cp:lastModifiedBy>
  <cp:lastPrinted>2004-07-29T14:12:00Z</cp:lastPrinted>
  <dcterms:modified xsi:type="dcterms:W3CDTF">2026-07-09T19:36:26Z</dcterms:modified>
  <cp:revision>2</cp:revision>
  <dc:title>1¾   «        M</dc:title>
</cp:coreProperties>
</file>