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1"/>
        <w:jc w:val="center"/>
        <w:rPr>
          <w:b w:val="1"/>
          <w:bCs w:val="1"/>
          <w:sz w:val="24"/>
          <w:szCs w:val="24"/>
          <w:u w:val="single"/>
        </w:rPr>
      </w:pPr>
    </w:p>
    <w:p>
      <w:pPr>
        <w:pStyle w:val="P1"/>
        <w:jc w:val="center"/>
        <w:rPr>
          <w:b w:val="1"/>
          <w:bCs w:val="1"/>
          <w:sz w:val="24"/>
          <w:szCs w:val="24"/>
          <w:u w:val="single"/>
        </w:rPr>
      </w:pPr>
    </w:p>
    <w:p>
      <w:pPr>
        <w:pStyle w:val="P1"/>
        <w:jc w:val="center"/>
        <w:rPr>
          <w:sz w:val="24"/>
          <w:szCs w:val="24"/>
        </w:rPr>
      </w:pPr>
      <w:r>
        <w:rPr>
          <w:b w:val="1"/>
          <w:bCs w:val="1"/>
          <w:sz w:val="24"/>
          <w:szCs w:val="24"/>
          <w:u w:val="single"/>
        </w:rPr>
        <w:t xml:space="preserve">ORDENANZA  Nº 6966</w:t>
      </w:r>
    </w:p>
    <w:p>
      <w:pPr>
        <w:pStyle w:val="P1"/>
        <w:jc w:val="both"/>
        <w:rPr>
          <w:sz w:val="24"/>
          <w:szCs w:val="24"/>
        </w:rPr>
      </w:pPr>
    </w:p>
    <w:p>
      <w:pPr>
        <w:pStyle w:val="P1"/>
        <w:ind w:hanging="709" w:left="709"/>
        <w:jc w:val="both"/>
        <w:rPr>
          <w:sz w:val="24"/>
          <w:szCs w:val="24"/>
        </w:rPr>
      </w:pPr>
    </w:p>
    <w:p>
      <w:pPr>
        <w:pStyle w:val="P1"/>
        <w:ind w:hanging="709" w:left="709"/>
        <w:jc w:val="both"/>
        <w:rPr>
          <w:sz w:val="24"/>
          <w:szCs w:val="24"/>
        </w:rPr>
      </w:pPr>
    </w:p>
    <w:p>
      <w:pPr>
        <w:pStyle w:val="P1"/>
        <w:ind w:hanging="709" w:left="709"/>
        <w:jc w:val="both"/>
        <w:rPr>
          <w:sz w:val="24"/>
          <w:szCs w:val="24"/>
        </w:rPr>
      </w:pPr>
      <w:r>
        <w:rPr>
          <w:sz w:val="24"/>
          <w:szCs w:val="24"/>
        </w:rPr>
        <w:t>Visto: El Expediente Nº1994/02; y</w:t>
      </w:r>
    </w:p>
    <w:p>
      <w:pPr>
        <w:pStyle w:val="P1"/>
        <w:ind w:hanging="709" w:left="709"/>
        <w:jc w:val="both"/>
        <w:rPr>
          <w:sz w:val="24"/>
          <w:szCs w:val="24"/>
        </w:rPr>
      </w:pPr>
    </w:p>
    <w:p>
      <w:pPr>
        <w:pStyle w:val="P1"/>
        <w:ind w:hanging="709" w:left="709"/>
        <w:jc w:val="both"/>
        <w:rPr>
          <w:sz w:val="24"/>
          <w:szCs w:val="24"/>
        </w:rPr>
      </w:pPr>
    </w:p>
    <w:p>
      <w:pPr>
        <w:pStyle w:val="P1"/>
        <w:ind w:left="2832"/>
        <w:rPr>
          <w:b w:val="1"/>
          <w:bCs w:val="1"/>
          <w:sz w:val="24"/>
          <w:szCs w:val="24"/>
        </w:rPr>
      </w:pPr>
      <w:r>
        <w:rPr>
          <w:b w:val="1"/>
          <w:bCs w:val="1"/>
          <w:sz w:val="24"/>
          <w:szCs w:val="24"/>
        </w:rPr>
        <w:t xml:space="preserve"> </w:t>
      </w:r>
    </w:p>
    <w:p>
      <w:pPr>
        <w:pStyle w:val="P1"/>
        <w:ind w:left="2832"/>
        <w:rPr>
          <w:b w:val="1"/>
          <w:bCs w:val="1"/>
          <w:sz w:val="24"/>
          <w:szCs w:val="24"/>
        </w:rPr>
      </w:pPr>
      <w:r>
        <w:rPr>
          <w:b w:val="1"/>
          <w:bCs w:val="1"/>
          <w:sz w:val="24"/>
          <w:szCs w:val="24"/>
        </w:rPr>
        <w:t xml:space="preserve">  C O N S I D E R A N D O</w:t>
      </w:r>
    </w:p>
    <w:p>
      <w:pPr>
        <w:pStyle w:val="P2"/>
        <w:ind w:left="0"/>
        <w:rPr>
          <w:rFonts w:ascii="Courier New" w:hAnsi="Courier New"/>
        </w:rPr>
      </w:pPr>
    </w:p>
    <w:p>
      <w:pPr>
        <w:pStyle w:val="P2"/>
        <w:ind w:left="0"/>
        <w:rPr>
          <w:rFonts w:ascii="Courier New" w:hAnsi="Courier New"/>
        </w:rPr>
      </w:pPr>
    </w:p>
    <w:p>
      <w:pPr>
        <w:pStyle w:val="P2"/>
        <w:ind w:hanging="1"/>
        <w:rPr>
          <w:rFonts w:ascii="Courier New" w:hAnsi="Courier New"/>
        </w:rPr>
      </w:pPr>
    </w:p>
    <w:p>
      <w:pPr>
        <w:pStyle w:val="P2"/>
        <w:ind w:hanging="1"/>
        <w:rPr>
          <w:rFonts w:ascii="Courier New" w:hAnsi="Courier New"/>
        </w:rPr>
      </w:pPr>
      <w:r>
        <w:rPr>
          <w:rFonts w:ascii="Courier New" w:hAnsi="Courier New"/>
        </w:rPr>
        <w:t xml:space="preserve">Que el mismo es iniciado con nota presentada por la Sra. Sosa, Gladys Teresa D.N.I. Nº12.035.497, domiciliada en calle Cristóbal García 152 Bº Piedra del Sapo, donde solicita eximición de la deuda que en concepto de Tasa por Servicio a la Propiedad de la designación catastral Nº04-01-156-007-000, mantiene la misma con el municipio a la fecha; </w:t>
      </w:r>
    </w:p>
    <w:p>
      <w:pPr>
        <w:pStyle w:val="P2"/>
        <w:ind w:hanging="1"/>
        <w:rPr>
          <w:rFonts w:ascii="Courier New" w:hAnsi="Courier New"/>
        </w:rPr>
      </w:pPr>
    </w:p>
    <w:p>
      <w:pPr>
        <w:pStyle w:val="P2"/>
        <w:ind w:hanging="1"/>
        <w:rPr>
          <w:rFonts w:ascii="Courier New" w:hAnsi="Courier New"/>
        </w:rPr>
      </w:pPr>
      <w:r>
        <w:rPr>
          <w:rFonts w:ascii="Courier New" w:hAnsi="Courier New"/>
        </w:rPr>
        <w:t>Que la nota fue presentada en noviembre de 2002;</w:t>
      </w:r>
    </w:p>
    <w:p>
      <w:pPr>
        <w:pStyle w:val="P2"/>
        <w:ind w:hanging="1"/>
        <w:rPr>
          <w:rFonts w:ascii="Courier New" w:hAnsi="Courier New"/>
        </w:rPr>
      </w:pPr>
    </w:p>
    <w:p>
      <w:pPr>
        <w:pStyle w:val="P2"/>
        <w:ind w:hanging="1"/>
        <w:rPr>
          <w:rFonts w:ascii="Courier New" w:hAnsi="Courier New"/>
        </w:rPr>
      </w:pPr>
      <w:r>
        <w:rPr>
          <w:rFonts w:ascii="Courier New" w:hAnsi="Courier New"/>
        </w:rPr>
        <w:t>Que dicha señora es madre y única responsable legal de la tenencia y manutención de sus hijos;</w:t>
      </w:r>
    </w:p>
    <w:p>
      <w:pPr>
        <w:pStyle w:val="P2"/>
        <w:ind w:hanging="1"/>
        <w:rPr>
          <w:rFonts w:ascii="Courier New" w:hAnsi="Courier New"/>
        </w:rPr>
      </w:pPr>
    </w:p>
    <w:p>
      <w:pPr>
        <w:pStyle w:val="P2"/>
        <w:ind w:hanging="1"/>
        <w:rPr>
          <w:rFonts w:ascii="Courier New" w:hAnsi="Courier New"/>
        </w:rPr>
      </w:pPr>
      <w:r>
        <w:rPr>
          <w:rFonts w:ascii="Courier New" w:hAnsi="Courier New"/>
        </w:rPr>
        <w:t>Que recibe CIENTO CINCUENTA PESOS ($150.-) mensuales provenientes de un Plan de Jefes de Hogar;</w:t>
      </w:r>
    </w:p>
    <w:p>
      <w:pPr>
        <w:pStyle w:val="P2"/>
        <w:ind w:hanging="1"/>
        <w:rPr>
          <w:rFonts w:ascii="Courier New" w:hAnsi="Courier New"/>
        </w:rPr>
      </w:pPr>
    </w:p>
    <w:p>
      <w:pPr>
        <w:pStyle w:val="P2"/>
        <w:ind w:hanging="1"/>
        <w:rPr>
          <w:rFonts w:ascii="Courier New" w:hAnsi="Courier New"/>
        </w:rPr>
      </w:pPr>
      <w:r>
        <w:rPr>
          <w:rFonts w:ascii="Courier New" w:hAnsi="Courier New"/>
        </w:rPr>
        <w:t>Que presenta una deuda con el Municipio desde 1994;</w:t>
      </w:r>
    </w:p>
    <w:p>
      <w:pPr>
        <w:pStyle w:val="P2"/>
        <w:ind w:hanging="1"/>
        <w:rPr>
          <w:rFonts w:ascii="Courier New" w:hAnsi="Courier New"/>
        </w:rPr>
      </w:pPr>
    </w:p>
    <w:p>
      <w:pPr>
        <w:pStyle w:val="P2"/>
        <w:ind w:hanging="1"/>
        <w:rPr>
          <w:rFonts w:ascii="Courier New" w:hAnsi="Courier New"/>
        </w:rPr>
      </w:pPr>
      <w:r>
        <w:rPr>
          <w:rFonts w:ascii="Courier New" w:hAnsi="Courier New"/>
        </w:rPr>
        <w:t>Que el estudio socioeconómico refleja que su vivienda es de características humildes, sin revocar y sin terminar;</w:t>
      </w:r>
    </w:p>
    <w:p>
      <w:pPr>
        <w:pStyle w:val="P2"/>
        <w:rPr>
          <w:rFonts w:ascii="Courier New" w:hAnsi="Courier New"/>
        </w:rPr>
      </w:pPr>
    </w:p>
    <w:p>
      <w:pPr>
        <w:pStyle w:val="P2"/>
        <w:ind w:hanging="1"/>
        <w:rPr>
          <w:rFonts w:ascii="Courier New" w:hAnsi="Courier New"/>
        </w:rPr>
      </w:pPr>
      <w:r>
        <w:rPr>
          <w:rFonts w:ascii="Courier New" w:hAnsi="Courier New"/>
        </w:rPr>
        <w:t xml:space="preserve">Que evaluado el contenido del Expediente por Comisión de Hacienda, la misma emite despacho accediendo a lo solicitado, despacho aprobado por unanimidad en Sesión Ordinaria de fecha 15 de julio de 2004.   </w:t>
      </w:r>
    </w:p>
    <w:p>
      <w:pPr>
        <w:pStyle w:val="P2"/>
        <w:ind w:hanging="1"/>
        <w:rPr>
          <w:rFonts w:ascii="Courier New" w:hAnsi="Courier New"/>
        </w:rPr>
      </w:pPr>
    </w:p>
    <w:p>
      <w:pPr>
        <w:pStyle w:val="P1"/>
        <w:jc w:val="both"/>
        <w:rPr>
          <w:sz w:val="24"/>
          <w:szCs w:val="24"/>
        </w:rPr>
      </w:pPr>
    </w:p>
    <w:p>
      <w:pPr>
        <w:pStyle w:val="P1"/>
        <w:ind w:firstLine="708" w:left="708"/>
        <w:rPr>
          <w:b w:val="1"/>
          <w:bCs w:val="1"/>
          <w:sz w:val="24"/>
          <w:szCs w:val="24"/>
        </w:rPr>
      </w:pPr>
      <w:r>
        <w:rPr>
          <w:b w:val="1"/>
          <w:bCs w:val="1"/>
          <w:sz w:val="24"/>
          <w:szCs w:val="24"/>
        </w:rPr>
        <w:t>EL HONORABLE CONCEJO DELIBERANTE DE LA CIUDAD DE</w:t>
      </w:r>
    </w:p>
    <w:p>
      <w:pPr>
        <w:pStyle w:val="P1"/>
        <w:ind w:left="709"/>
        <w:jc w:val="center"/>
        <w:rPr>
          <w:b w:val="1"/>
          <w:bCs w:val="1"/>
          <w:sz w:val="24"/>
          <w:szCs w:val="24"/>
        </w:rPr>
      </w:pPr>
    </w:p>
    <w:p>
      <w:pPr>
        <w:pStyle w:val="P1"/>
        <w:ind w:left="709"/>
        <w:jc w:val="center"/>
        <w:rPr>
          <w:b w:val="1"/>
          <w:bCs w:val="1"/>
          <w:sz w:val="24"/>
          <w:szCs w:val="24"/>
        </w:rPr>
      </w:pPr>
    </w:p>
    <w:p>
      <w:pPr>
        <w:pStyle w:val="P1"/>
        <w:ind w:left="1416"/>
        <w:rPr>
          <w:b w:val="1"/>
          <w:bCs w:val="1"/>
          <w:sz w:val="24"/>
          <w:szCs w:val="24"/>
        </w:rPr>
      </w:pPr>
      <w:r>
        <w:rPr>
          <w:b w:val="1"/>
          <w:bCs w:val="1"/>
          <w:sz w:val="24"/>
          <w:szCs w:val="24"/>
        </w:rPr>
        <w:t xml:space="preserve">  ALTA GRACIA SANCIONA CON FUERZA DE ORDENANZA</w:t>
      </w:r>
    </w:p>
    <w:p>
      <w:pPr>
        <w:pStyle w:val="P1"/>
        <w:jc w:val="right"/>
        <w:rPr>
          <w:sz w:val="24"/>
          <w:szCs w:val="24"/>
        </w:rPr>
      </w:pPr>
      <w:r>
        <w:rPr>
          <w:sz w:val="24"/>
          <w:szCs w:val="24"/>
        </w:rPr>
        <w:t>...///</w:t>
      </w: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sz w:val="24"/>
          <w:szCs w:val="24"/>
        </w:rPr>
      </w:pPr>
      <w:r>
        <w:rPr>
          <w:sz w:val="24"/>
          <w:szCs w:val="24"/>
        </w:rPr>
        <w:t>...///2.-</w:t>
      </w:r>
    </w:p>
    <w:p>
      <w:pPr>
        <w:pStyle w:val="P1"/>
        <w:ind w:hanging="709" w:left="709"/>
        <w:jc w:val="both"/>
        <w:rPr>
          <w:sz w:val="24"/>
          <w:szCs w:val="24"/>
        </w:rPr>
      </w:pPr>
    </w:p>
    <w:p>
      <w:pPr>
        <w:pStyle w:val="P1"/>
        <w:ind w:hanging="709" w:left="709"/>
        <w:jc w:val="both"/>
        <w:rPr>
          <w:sz w:val="24"/>
          <w:szCs w:val="24"/>
        </w:rPr>
      </w:pPr>
    </w:p>
    <w:p>
      <w:pPr>
        <w:pStyle w:val="P1"/>
        <w:ind w:hanging="709" w:left="709"/>
        <w:jc w:val="both"/>
        <w:rPr>
          <w:b w:val="1"/>
          <w:bCs w:val="1"/>
          <w:sz w:val="24"/>
          <w:szCs w:val="24"/>
          <w:u w:val="single"/>
        </w:rPr>
      </w:pPr>
    </w:p>
    <w:p>
      <w:pPr>
        <w:pStyle w:val="P1"/>
        <w:ind w:hanging="709" w:left="709"/>
        <w:jc w:val="both"/>
        <w:rPr>
          <w:sz w:val="24"/>
          <w:szCs w:val="24"/>
        </w:rPr>
      </w:pPr>
      <w:r>
        <w:rPr>
          <w:b w:val="1"/>
          <w:bCs w:val="1"/>
          <w:sz w:val="24"/>
          <w:szCs w:val="24"/>
          <w:u w:val="single"/>
        </w:rPr>
        <w:t>Art.1</w:t>
      </w:r>
      <w:r>
        <w:rPr>
          <w:b w:val="1"/>
          <w:bCs w:val="1"/>
          <w:sz w:val="24"/>
          <w:szCs w:val="24"/>
        </w:rPr>
        <w:t>:</w:t>
      </w:r>
      <w:r>
        <w:rPr>
          <w:sz w:val="24"/>
          <w:szCs w:val="24"/>
        </w:rPr>
        <w:t xml:space="preserve"> </w:t>
      </w:r>
      <w:r>
        <w:rPr>
          <w:b w:val="1"/>
          <w:bCs w:val="1"/>
          <w:sz w:val="24"/>
          <w:szCs w:val="24"/>
        </w:rPr>
        <w:t>OTORGAR</w:t>
      </w:r>
      <w:r>
        <w:rPr>
          <w:sz w:val="24"/>
          <w:szCs w:val="24"/>
        </w:rPr>
        <w:t xml:space="preserve"> a la Sra. Gladys Teresa Sosa D.N.I. Nº12.035.497, el beneficio de la Ordenanza 5485 Art.3, debiendo pagar a partir de la promulgación de la presente, una cuota social mensual de PESOS TRES ($3.-), respecto de la designación catastral Nº04-01-156-007-000.  </w:t>
      </w:r>
    </w:p>
    <w:p>
      <w:pPr>
        <w:pStyle w:val="P1"/>
        <w:jc w:val="both"/>
        <w:rPr>
          <w:b w:val="1"/>
          <w:bCs w:val="1"/>
          <w:sz w:val="24"/>
          <w:szCs w:val="24"/>
          <w:u w:val="single"/>
        </w:rPr>
      </w:pPr>
    </w:p>
    <w:p>
      <w:pPr>
        <w:pStyle w:val="P1"/>
        <w:ind w:hanging="709" w:left="709"/>
        <w:jc w:val="both"/>
        <w:rPr>
          <w:sz w:val="24"/>
          <w:szCs w:val="24"/>
        </w:rPr>
      </w:pPr>
      <w:r>
        <w:rPr>
          <w:b w:val="1"/>
          <w:bCs w:val="1"/>
          <w:sz w:val="24"/>
          <w:szCs w:val="24"/>
          <w:u w:val="single"/>
        </w:rPr>
        <w:t>Art.2</w:t>
      </w:r>
      <w:r>
        <w:rPr>
          <w:b w:val="1"/>
          <w:bCs w:val="1"/>
          <w:sz w:val="24"/>
          <w:szCs w:val="24"/>
        </w:rPr>
        <w:t>:</w:t>
      </w:r>
      <w:r>
        <w:rPr>
          <w:sz w:val="24"/>
          <w:szCs w:val="24"/>
        </w:rPr>
        <w:t xml:space="preserve"> </w:t>
      </w:r>
      <w:r>
        <w:rPr>
          <w:b w:val="1"/>
          <w:bCs w:val="1"/>
          <w:sz w:val="24"/>
          <w:szCs w:val="24"/>
        </w:rPr>
        <w:t>EX</w:t>
      </w:r>
      <w:r>
        <w:rPr>
          <w:b w:val="1"/>
          <w:bCs w:val="1"/>
          <w:sz w:val="24"/>
          <w:szCs w:val="24"/>
        </w:rPr>
        <w:t>IMIR</w:t>
      </w:r>
      <w:r>
        <w:rPr>
          <w:b w:val="1"/>
          <w:bCs w:val="1"/>
          <w:sz w:val="24"/>
          <w:szCs w:val="24"/>
        </w:rPr>
        <w:t xml:space="preserve">, </w:t>
      </w:r>
      <w:r>
        <w:rPr>
          <w:b w:val="1"/>
          <w:bCs w:val="1"/>
          <w:sz w:val="24"/>
          <w:szCs w:val="24"/>
        </w:rPr>
        <w:t xml:space="preserve"> </w:t>
      </w:r>
      <w:r>
        <w:rPr>
          <w:sz w:val="24"/>
          <w:szCs w:val="24"/>
        </w:rPr>
        <w:t>por cada cuota abonada en término, de dos (2) cuotas de la deuda que mantiene con el Municipio por la designación catastral mencionada en el Art. 1 de la presente Ordenanza la Sra. Gladys Teresa Sosa.</w:t>
      </w:r>
    </w:p>
    <w:p>
      <w:pPr>
        <w:pStyle w:val="P1"/>
        <w:jc w:val="both"/>
        <w:rPr>
          <w:b w:val="1"/>
          <w:bCs w:val="1"/>
          <w:sz w:val="24"/>
          <w:szCs w:val="24"/>
          <w:u w:val="single"/>
        </w:rPr>
      </w:pPr>
    </w:p>
    <w:p>
      <w:pPr>
        <w:pStyle w:val="P1"/>
        <w:ind w:hanging="709" w:left="709"/>
        <w:jc w:val="both"/>
        <w:rPr>
          <w:sz w:val="24"/>
          <w:szCs w:val="24"/>
        </w:rPr>
      </w:pPr>
      <w:r>
        <w:rPr>
          <w:b w:val="1"/>
          <w:bCs w:val="1"/>
          <w:sz w:val="24"/>
          <w:szCs w:val="24"/>
          <w:u w:val="single"/>
        </w:rPr>
        <w:t>Art.3</w:t>
      </w:r>
      <w:r>
        <w:rPr>
          <w:b w:val="1"/>
          <w:bCs w:val="1"/>
          <w:sz w:val="24"/>
          <w:szCs w:val="24"/>
        </w:rPr>
        <w:t>: EN</w:t>
      </w:r>
      <w:r>
        <w:rPr>
          <w:sz w:val="24"/>
          <w:szCs w:val="24"/>
        </w:rPr>
        <w:t xml:space="preserve"> caso de cambio en la situación económica, transferencia del inmueble o incumplimiento del pago de las cuotas establecidas en el Art. 1, este beneficio caducará automáticamente.</w:t>
      </w:r>
    </w:p>
    <w:p>
      <w:pPr>
        <w:pStyle w:val="P1"/>
        <w:ind w:hanging="709" w:left="709"/>
        <w:jc w:val="both"/>
        <w:rPr>
          <w:sz w:val="24"/>
          <w:szCs w:val="24"/>
        </w:rPr>
      </w:pPr>
    </w:p>
    <w:p>
      <w:pPr>
        <w:pStyle w:val="P1"/>
        <w:ind w:hanging="709" w:left="709"/>
        <w:jc w:val="both"/>
        <w:rPr>
          <w:sz w:val="24"/>
          <w:szCs w:val="24"/>
        </w:rPr>
      </w:pPr>
      <w:r>
        <w:rPr>
          <w:b w:val="1"/>
          <w:bCs w:val="1"/>
          <w:sz w:val="24"/>
          <w:szCs w:val="24"/>
          <w:u w:val="single"/>
        </w:rPr>
        <w:t>Art.4</w:t>
      </w:r>
      <w:r>
        <w:rPr>
          <w:b w:val="1"/>
          <w:bCs w:val="1"/>
          <w:sz w:val="24"/>
          <w:szCs w:val="24"/>
        </w:rPr>
        <w:t>: COMUNÍ</w:t>
      </w:r>
      <w:r>
        <w:rPr>
          <w:b w:val="1"/>
          <w:bCs w:val="1"/>
          <w:sz w:val="24"/>
          <w:szCs w:val="24"/>
        </w:rPr>
        <w:t>QUESE,</w:t>
      </w:r>
      <w:r>
        <w:rPr>
          <w:sz w:val="24"/>
          <w:szCs w:val="24"/>
        </w:rPr>
        <w:t xml:space="preserve"> publíquese, transcríbase al Libro de Ordenanzas y archívese.</w:t>
      </w:r>
    </w:p>
    <w:p>
      <w:pPr>
        <w:pStyle w:val="P1"/>
        <w:jc w:val="both"/>
        <w:rPr>
          <w:sz w:val="24"/>
          <w:szCs w:val="24"/>
        </w:rPr>
      </w:pPr>
    </w:p>
    <w:p>
      <w:pPr>
        <w:pStyle w:val="P1"/>
        <w:jc w:val="both"/>
        <w:rPr>
          <w:sz w:val="24"/>
          <w:szCs w:val="24"/>
        </w:rPr>
      </w:pPr>
    </w:p>
    <w:p>
      <w:pPr>
        <w:pStyle w:val="P1"/>
        <w:jc w:val="both"/>
        <w:rPr>
          <w:b w:val="1"/>
          <w:bCs w:val="1"/>
          <w:sz w:val="24"/>
          <w:szCs w:val="24"/>
        </w:rPr>
      </w:pPr>
    </w:p>
    <w:p>
      <w:pPr>
        <w:pStyle w:val="P1"/>
        <w:jc w:val="both"/>
        <w:rPr>
          <w:b w:val="1"/>
          <w:bCs w:val="1"/>
          <w:sz w:val="52"/>
          <w:szCs w:val="52"/>
        </w:rPr>
      </w:pPr>
      <w:r>
        <w:rPr>
          <w:b w:val="1"/>
          <w:bCs w:val="1"/>
          <w:sz w:val="24"/>
          <w:szCs w:val="24"/>
        </w:rPr>
        <w:t xml:space="preserve">DADA EN LA SALA DE SESIONES DEL HONORABLE CONCEJO DELIBERANTE A </w:t>
      </w:r>
      <w:r>
        <w:rPr>
          <w:b w:val="1"/>
          <w:bCs w:val="1"/>
          <w:sz w:val="24"/>
          <w:szCs w:val="24"/>
        </w:rPr>
        <w:t>QUINCE</w:t>
      </w:r>
      <w:r>
        <w:rPr>
          <w:b w:val="1"/>
          <w:bCs w:val="1"/>
          <w:sz w:val="24"/>
          <w:szCs w:val="24"/>
        </w:rPr>
        <w:t xml:space="preserve"> DÍ</w:t>
      </w:r>
      <w:r>
        <w:rPr>
          <w:b w:val="1"/>
          <w:bCs w:val="1"/>
          <w:sz w:val="24"/>
          <w:szCs w:val="24"/>
        </w:rPr>
        <w:t>A</w:t>
      </w:r>
      <w:r>
        <w:rPr>
          <w:b w:val="1"/>
          <w:bCs w:val="1"/>
          <w:sz w:val="24"/>
          <w:szCs w:val="24"/>
        </w:rPr>
        <w:t>S</w:t>
      </w:r>
      <w:r>
        <w:rPr>
          <w:b w:val="1"/>
          <w:bCs w:val="1"/>
          <w:sz w:val="24"/>
          <w:szCs w:val="24"/>
        </w:rPr>
        <w:t xml:space="preserve"> DEL MES DE JULIO DEL AÑO DOS MIL CUATRO.</w:t>
      </w:r>
    </w:p>
    <w:sectPr>
      <w:type w:val="nextPage"/>
      <w:pgMar w:left="1321" w:right="1321" w:top="1418" w:bottom="1418" w:header="720" w:footer="720" w:gutter="0"/>
    </w:sectPr>
  </w:body>
</w:document>
</file>

<file path=word/numbering.xml><?xml version="1.0" encoding="utf-8"?>
<w:numbering xmlns:w="http://schemas.openxmlformats.org/wordprocessingml/2006/main"/>
</file>

<file path=word/settings.xml><?xml version="1.0" encoding="utf-8"?>
<w:settings xmlns:r="http://schemas.openxmlformats.org/officeDocument/2006/relationships" xmlns:w="http://schemas.openxmlformats.org/wordprocessingml/2006/main">
  <w:displayBackgroundShape w:val="0"/>
  <w:doNotTrackMoves/>
  <w:doNotTrackFormatting/>
  <w:defaultTabStop w:val="708"/>
  <w:autoHyphenation w:val="0"/>
  <w:hyphenationZone w:val="425"/>
  <w:evenAndOddHeaders w:val="0"/>
  <w:characterSpacingControl w:val="compressPunctuation"/>
  <w:compat>
    <w:doNotExpandShiftReturn/>
    <w:splitPgBreakAndParaMark/>
    <w:doNotBreakConstrainedForcedTable/>
    <w:doNotVertAlignCellWithSp/>
    <w:footnoteLayoutLikeWW8/>
    <w:balanceSingleByteDoubleByteWidth/>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rPr>
  </w:style>
  <w:style w:type="paragraph" w:styleId="P1">
    <w:name w:val="Plain Text"/>
    <w:basedOn w:val="P0"/>
    <w:next w:val="P1"/>
    <w:pPr/>
    <w:rPr>
      <w:rFonts w:ascii="Courier New" w:hAnsi="Courier New"/>
    </w:rPr>
  </w:style>
  <w:style w:type="paragraph" w:styleId="P2">
    <w:name w:val="Body Text Indent 2"/>
    <w:basedOn w:val="P0"/>
    <w:next w:val="P2"/>
    <w:pPr>
      <w:ind w:left="709"/>
      <w:jc w:val="both"/>
    </w:pPr>
    <w:rPr>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Departamento Ejecutivo</Company>
  <Template>~wd07</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2026-07-09T19:21:13Z</dcterms:created>
  <cp:lastModifiedBy>Federico Parisi</cp:lastModifiedBy>
  <cp:lastPrinted>2004-08-05T16:03:00Z</cp:lastPrinted>
  <dcterms:modified xsi:type="dcterms:W3CDTF">2026-07-09T19:21:13Z</dcterms:modified>
  <cp:revision>2</cp:revision>
  <dc:title>1¾   «        M</dc:title>
</cp:coreProperties>
</file>