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Nº6975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1158/03;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el mismo es iniciado con nota presentada por el Sr. Hugo González D.N.I. N° 7.916.727, domiciliado en calle General Paz 1051 en la que solicita plan de cuotas de la deuda de Tasa por Servicios a la Propiedad, Comercio y Lote;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desde 2001 el solicitante persigue una solución a sus deudas;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dado el nivel de endeudamiento, todas sus deudas se encuentran en proceso judicial con distintos procuradores;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no ha podido acordar un arreglo si antes no solucionaba todos los honorarios con los procuradores Feraudo, Espíndola y Bossi;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la Dirección de Ingresos Públicos ha tomado contacto con los tres procuradores y están tratando en conjunto acordar un arreglo por sus deudas;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existe voluntad de pago por parte del solicitante, a pesar de su situación familiar, ya que por enfermedad de su esposa ya fallecida tuvo endeudamiento por tratamiento y medicamentos;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la Comisión de Hacienda, la misma emite despacho favorable aprobado por unanimidad en Sesión Ordinaria del 15 de julio de 2004.   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</w:t>
      </w: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EXIMIR </w:t>
      </w:r>
      <w:r>
        <w:rPr>
          <w:sz w:val="24"/>
          <w:szCs w:val="24"/>
        </w:rPr>
        <w:t>en un 50% cada una de las deudas que registra por Tasa por Servicios a la Propiedad de las designaciones catastrales 1-01-346-035-000, 03-01-470-002-000 y 03-01-196-019-000 y por Tasa por Servicio de Inspección General e Higiene de la Identificación 2867 hasta la promulgación de la presente.</w:t>
      </w:r>
    </w:p>
    <w:p>
      <w:pPr>
        <w:pStyle w:val="P1"/>
        <w:ind w:hanging="709" w:left="709"/>
        <w:jc w:val="right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EFECTUAR</w:t>
      </w:r>
      <w:r>
        <w:rPr>
          <w:sz w:val="24"/>
          <w:szCs w:val="24"/>
        </w:rPr>
        <w:t xml:space="preserve"> con el 50% restante de la deuda plan de pago para cada caso cuya cuota global no supere los $120 por mes, en un todo de acuerdo con lo informado por la  Dirección de Ingresos Públicos.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LOS QUINCE DIAS DEL MES DE JULIO DEL AÑO DOS MIL CUATRO.</w:t>
      </w:r>
    </w:p>
    <w:sectPr>
      <w:type w:val="nextPage"/>
      <w:pgSz w:w="11907" w:h="16840" w:code="0"/>
      <w:pgMar w:left="170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2026-07-09T19:20:12Z</dcterms:created>
  <cp:lastModifiedBy>Federico Parisi</cp:lastModifiedBy>
  <cp:lastPrinted>2004-11-10T21:08:00Z</cp:lastPrinted>
  <dcterms:modified xsi:type="dcterms:W3CDTF">2026-07-09T19:20:12Z</dcterms:modified>
  <cp:revision>2</cp:revision>
  <dc:title>1¾   «        M</dc:title>
</cp:coreProperties>
</file>