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6990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Nº1059/01;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  <w:tab/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Rivarola de Luna, Marta, adjunto al expediente Nº1802/03, iniciado por el Sr. Fernez, Osvaldo Teodoro;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Sra. Rivarola se encuentra imposibilitada de abonar la deuda que mantiene con el Municipio;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oportunamente fue aceptada la donación por parte de la mencionada y que posteriormente se ha presentado el Sr. Fernez, Osvaldo solicitando la transferencia del nicho;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Asesoría Letrada informa que se ha cumplimentado con los requisitos solicitados;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el expediente Nº1802/03 adjunto, el Sr. Fernez solicita autorización de transferencia de nichera en el Cementerio Municipal de dos compartimentos identificación Nº125 en zona de panteones;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29 de julio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AUTORIZAR </w:t>
      </w:r>
      <w:r>
        <w:rPr>
          <w:sz w:val="24"/>
          <w:szCs w:val="24"/>
        </w:rPr>
        <w:t xml:space="preserve">al Departamento Ejecutivo a transferir nichera de dos compartimentos, ubicada en el Cementerio Municipal, identificación Nº425, ubicación P3-23-1, al Sr. Fernez, Osvaldo Teodoro, L.E. Nº6.608.741. 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2026-07-09T19:18:58Z</dcterms:created>
  <cp:lastModifiedBy>Federico Parisi</cp:lastModifiedBy>
  <cp:lastPrinted>2004-08-23T15:00:00Z</cp:lastPrinted>
  <dcterms:modified xsi:type="dcterms:W3CDTF">2026-07-09T19:18:58Z</dcterms:modified>
  <cp:revision>2</cp:revision>
  <dc:title>1¾   «        M</dc:title>
</cp:coreProperties>
</file>