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sz w:val="24"/>
          <w:szCs w:val="24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 6991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Nº1450/03;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  <w:tab/>
        <w:t>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con nota presentada por la Sra. Manuela Amaya, en la cual solicita eximición  de impuestos por Tasa por Servicios a la Propiedad, respecto de la designación  catastral Nº01-01-230-025-000;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el estudio socioeconómico informa que la Sra. Amaya es divorciada y que no recibe cuota alimentaria por sus hijos;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su salud no es buena;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la misma no tiene trabajo fijo, sólo cuenta con algunos ingresos que provienen de la venta de ropa usada;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recibe el módulo alimentario;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evaluado el contenido del Expediente por Comisión de Hacienda, la misma emite despacho accediendo a lo solicitado, despacho aprobado por unanimidad en Sesión Ordinaria de fecha 29 de julio de 2004.</w:t>
      </w:r>
    </w:p>
    <w:p>
      <w:pPr>
        <w:pStyle w:val="P1"/>
        <w:ind w:firstLine="708" w:left="708"/>
        <w:rPr>
          <w:sz w:val="24"/>
          <w:szCs w:val="24"/>
        </w:rPr>
      </w:pPr>
      <w:r>
        <w:t xml:space="preserve">   </w:t>
      </w:r>
    </w:p>
    <w:p>
      <w:pPr>
        <w:pStyle w:val="P1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 xml:space="preserve">EXIMIR  </w:t>
      </w:r>
      <w:r>
        <w:rPr>
          <w:sz w:val="24"/>
          <w:szCs w:val="24"/>
        </w:rPr>
        <w:t>en un CINCUENTA POR CIENTO (50%) de la deuda que mantiene con el Municipio la Sra. Manuela Amaya L.C. Nº1.768.318, en concepto de Tasa por Servicios a la Propiedad, respecto de la designación catastral Nº01-01-230-025-000, hasta la promulgación de la presente Ordenanza.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 xml:space="preserve">: REALIZAR </w:t>
      </w:r>
      <w:r>
        <w:rPr>
          <w:sz w:val="24"/>
          <w:szCs w:val="24"/>
        </w:rPr>
        <w:t>con el CINCUENTA POR CIENTO (50%) restante de la deuda un Plan de Pagos, de acuerdo a sus posibilidades, hasta la promulgación de la presente.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Art.3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VEINTINUEVE DIAS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2026-07-09T19:18:49Z</dcterms:created>
  <cp:lastModifiedBy>Federico Parisi</cp:lastModifiedBy>
  <cp:lastPrinted>2004-08-23T16:01:00Z</cp:lastPrinted>
  <dcterms:modified xsi:type="dcterms:W3CDTF">2026-07-09T19:18:49Z</dcterms:modified>
  <cp:revision>2</cp:revision>
  <dc:title>1¾   «        M</dc:title>
</cp:coreProperties>
</file>