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6992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Nº1349/99;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la Asociación Civil María Auxiliadora del Rosario, en la cual solicita eximición  del pago de la contribución que incide sobre Automotores y de Tasa por Servicios a la Propiedad;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por Resolución de la Dirección de Ingresos Públicos, fue eximida por el corriente año del pago en un CIENTO POR CIENTO (100%) de la Tasa por Servicios a la Propiedad de la designación catastral Nº01-01-009-010-000 y del Dominio CYF 587 en concepto de Impuesto al Automotor;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49 vta. del expediente la misma Dirección informa que por Resolución dicha Dirección no está facultada para eximir más de un vehículo, por lo cual es elevado el expediente a este Concejo Deliberante para su Resolución;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29 de julio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 </w:t>
      </w:r>
      <w:r>
        <w:rPr>
          <w:sz w:val="24"/>
          <w:szCs w:val="24"/>
        </w:rPr>
        <w:t>en un CIENTO POR CIENTO (100%) la deuda del Impuesto que incide sobre el Automotor respecto del Dominio AKL 501, por el año 2004.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2026-07-09T19:18:11Z</dcterms:created>
  <cp:lastModifiedBy>Federico Parisi</cp:lastModifiedBy>
  <cp:lastPrinted>2004-08-23T14:36:00Z</cp:lastPrinted>
  <dcterms:modified xsi:type="dcterms:W3CDTF">2026-07-09T19:18:11Z</dcterms:modified>
  <cp:revision>2</cp:revision>
  <dc:title>1¾   «        M</dc:title>
</cp:coreProperties>
</file>