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ORDENANZA N° 7018</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Las notas presentadas por la Comisión de Padres y Alumnos de Quinchos 2004 solicitando autorización para la realización de los Quinchos en el predio del Tajamar; y</w:t>
      </w:r>
    </w:p>
    <w:p>
      <w:pPr>
        <w:pStyle w:val="P1"/>
        <w:jc w:val="both"/>
        <w:rPr>
          <w:sz w:val="24"/>
          <w:szCs w:val="24"/>
        </w:rPr>
      </w:pPr>
    </w:p>
    <w:p>
      <w:pPr>
        <w:pStyle w:val="P1"/>
        <w:ind w:left="3540"/>
        <w:rPr>
          <w:b w:val="1"/>
          <w:bCs w:val="1"/>
          <w:sz w:val="24"/>
          <w:szCs w:val="24"/>
        </w:rPr>
      </w:pPr>
    </w:p>
    <w:p>
      <w:pPr>
        <w:pStyle w:val="P1"/>
        <w:ind w:left="3540"/>
        <w:rPr>
          <w:b w:val="1"/>
          <w:bCs w:val="1"/>
          <w:sz w:val="24"/>
          <w:szCs w:val="24"/>
        </w:rPr>
      </w:pPr>
      <w:r>
        <w:rPr>
          <w:b w:val="1"/>
          <w:bCs w:val="1"/>
          <w:sz w:val="24"/>
          <w:szCs w:val="24"/>
        </w:rPr>
        <w:t>C O N S I D E R A N D O</w:t>
      </w:r>
    </w:p>
    <w:p>
      <w:pPr>
        <w:pStyle w:val="P1"/>
        <w:ind w:left="3540"/>
        <w:rPr>
          <w:b w:val="1"/>
          <w:bCs w:val="1"/>
          <w:sz w:val="24"/>
          <w:szCs w:val="24"/>
        </w:rPr>
      </w:pPr>
    </w:p>
    <w:p>
      <w:pPr>
        <w:pStyle w:val="P1"/>
        <w:rPr>
          <w:b w:val="1"/>
          <w:bCs w:val="1"/>
          <w:sz w:val="24"/>
          <w:szCs w:val="24"/>
        </w:rPr>
      </w:pPr>
    </w:p>
    <w:p>
      <w:pPr>
        <w:pStyle w:val="P2"/>
        <w:ind w:hanging="1"/>
        <w:rPr>
          <w:rFonts w:ascii="Courier New" w:hAnsi="Courier New"/>
        </w:rPr>
      </w:pPr>
      <w:r>
        <w:rPr>
          <w:rFonts w:ascii="Courier New" w:hAnsi="Courier New"/>
        </w:rPr>
        <w:t>Que la fiesta de los Quinchos estudiantiles es una tradición para los jóvenes de la ciudad de Alta Gracia;</w:t>
      </w:r>
    </w:p>
    <w:p>
      <w:pPr>
        <w:pStyle w:val="P2"/>
        <w:rPr>
          <w:rFonts w:ascii="Courier New" w:hAnsi="Courier New"/>
        </w:rPr>
      </w:pPr>
    </w:p>
    <w:p>
      <w:pPr>
        <w:pStyle w:val="P2"/>
        <w:rPr>
          <w:rFonts w:ascii="Courier New" w:hAnsi="Courier New"/>
        </w:rPr>
      </w:pPr>
      <w:r>
        <w:rPr>
          <w:rFonts w:ascii="Courier New" w:hAnsi="Courier New"/>
        </w:rPr>
        <w:t>Que en la misma los jóvenes participan y se involucran en un clima de sana algarabía;</w:t>
      </w:r>
    </w:p>
    <w:p>
      <w:pPr>
        <w:pStyle w:val="P2"/>
        <w:rPr>
          <w:rFonts w:ascii="Courier New" w:hAnsi="Courier New"/>
        </w:rPr>
      </w:pPr>
      <w:r>
        <w:rPr>
          <w:rFonts w:ascii="Courier New" w:hAnsi="Courier New"/>
        </w:rPr>
        <w:t xml:space="preserve"> </w:t>
      </w:r>
    </w:p>
    <w:p>
      <w:pPr>
        <w:pStyle w:val="P2"/>
        <w:rPr>
          <w:rFonts w:ascii="Courier New" w:hAnsi="Courier New"/>
        </w:rPr>
      </w:pPr>
      <w:r>
        <w:rPr>
          <w:rFonts w:ascii="Courier New" w:hAnsi="Courier New"/>
        </w:rPr>
        <w:t>Que es importante inculcar en nuestros jóvenes el amor hacia nuestra ciudad y su patrimonio histórico y cultural;</w:t>
      </w:r>
    </w:p>
    <w:p>
      <w:pPr>
        <w:pStyle w:val="P2"/>
        <w:rPr>
          <w:rFonts w:ascii="Courier New" w:hAnsi="Courier New"/>
        </w:rPr>
      </w:pPr>
    </w:p>
    <w:p>
      <w:pPr>
        <w:pStyle w:val="P2"/>
        <w:ind w:hanging="1"/>
        <w:rPr>
          <w:rFonts w:ascii="Courier New" w:hAnsi="Courier New"/>
        </w:rPr>
      </w:pPr>
      <w:r>
        <w:rPr>
          <w:rFonts w:ascii="Courier New" w:hAnsi="Courier New"/>
        </w:rPr>
        <w:t>Que evaluadas las solicitudes por el Concejo reunido en Comisión, el mismo emite despacho accediendo a lo solicitado, despacho aprobado por unanimidad en Sesión de fecha 19 de agosto.</w:t>
      </w:r>
    </w:p>
    <w:p>
      <w:pPr>
        <w:pStyle w:val="P1"/>
        <w:jc w:val="both"/>
        <w:rPr>
          <w:sz w:val="24"/>
          <w:szCs w:val="24"/>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both"/>
        <w:rPr>
          <w:sz w:val="24"/>
          <w:szCs w:val="24"/>
        </w:rPr>
      </w:pPr>
    </w:p>
    <w:p>
      <w:pPr>
        <w:pStyle w:val="P1"/>
        <w:jc w:val="both"/>
        <w:rPr>
          <w:sz w:val="24"/>
          <w:szCs w:val="24"/>
        </w:rPr>
      </w:pPr>
    </w:p>
    <w:p>
      <w:pPr>
        <w:pStyle w:val="P1"/>
        <w:ind w:hanging="709" w:left="709"/>
        <w:jc w:val="both"/>
        <w:rPr>
          <w:sz w:val="24"/>
          <w:szCs w:val="24"/>
        </w:rPr>
      </w:pPr>
      <w:r>
        <w:rPr>
          <w:b w:val="1"/>
          <w:bCs w:val="1"/>
          <w:sz w:val="24"/>
          <w:szCs w:val="24"/>
          <w:u w:val="single"/>
        </w:rPr>
        <w:t>Art.1:</w:t>
      </w:r>
      <w:r>
        <w:rPr>
          <w:b w:val="1"/>
          <w:bCs w:val="1"/>
          <w:sz w:val="24"/>
          <w:szCs w:val="24"/>
        </w:rPr>
        <w:t xml:space="preserve"> DECLÁRASE “</w:t>
      </w:r>
      <w:r>
        <w:rPr>
          <w:sz w:val="24"/>
          <w:szCs w:val="24"/>
        </w:rPr>
        <w:t>Semana de la Juventud” al período comprendido entre los días 20 al 25 de Setiembre del 2004.</w:t>
      </w:r>
    </w:p>
    <w:p>
      <w:pPr>
        <w:pStyle w:val="P1"/>
        <w:ind w:hanging="709" w:left="709"/>
        <w:jc w:val="both"/>
        <w:rPr>
          <w:sz w:val="24"/>
          <w:szCs w:val="24"/>
        </w:rPr>
      </w:pPr>
    </w:p>
    <w:p>
      <w:pPr>
        <w:pStyle w:val="P1"/>
        <w:ind w:hanging="709" w:left="709"/>
        <w:jc w:val="both"/>
        <w:rPr>
          <w:sz w:val="24"/>
          <w:szCs w:val="24"/>
        </w:rPr>
      </w:pPr>
      <w:r>
        <w:rPr>
          <w:b w:val="1"/>
          <w:bCs w:val="1"/>
          <w:sz w:val="24"/>
          <w:szCs w:val="24"/>
          <w:u w:val="single"/>
        </w:rPr>
        <w:t>Art.2:</w:t>
      </w:r>
      <w:r>
        <w:rPr>
          <w:sz w:val="24"/>
          <w:szCs w:val="24"/>
        </w:rPr>
        <w:t xml:space="preserve"> </w:t>
      </w:r>
      <w:r>
        <w:rPr>
          <w:b w:val="1"/>
          <w:bCs w:val="1"/>
          <w:sz w:val="24"/>
          <w:szCs w:val="24"/>
        </w:rPr>
        <w:t xml:space="preserve">DECLÁRASE </w:t>
      </w:r>
      <w:r>
        <w:rPr>
          <w:sz w:val="24"/>
          <w:szCs w:val="24"/>
        </w:rPr>
        <w:t>de Interés Municipal a la realización de los Quinchos 2004.</w:t>
      </w:r>
    </w:p>
    <w:p>
      <w:pPr>
        <w:pStyle w:val="P1"/>
        <w:ind w:hanging="709" w:left="709"/>
        <w:jc w:val="right"/>
        <w:rPr>
          <w:sz w:val="24"/>
          <w:szCs w:val="24"/>
        </w:rPr>
      </w:pPr>
    </w:p>
    <w:p>
      <w:pPr>
        <w:pStyle w:val="P1"/>
        <w:ind w:hanging="709" w:left="709"/>
        <w:jc w:val="right"/>
        <w:rPr>
          <w:sz w:val="24"/>
          <w:szCs w:val="24"/>
        </w:rPr>
      </w:pPr>
      <w:r>
        <w:rPr>
          <w:sz w:val="24"/>
          <w:szCs w:val="24"/>
        </w:rPr>
        <w:t>...///</w:t>
      </w: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left="708"/>
        <w:jc w:val="both"/>
        <w:rPr>
          <w:sz w:val="24"/>
          <w:szCs w:val="24"/>
        </w:rPr>
      </w:pPr>
    </w:p>
    <w:p>
      <w:pPr>
        <w:pStyle w:val="P1"/>
        <w:ind w:hanging="708" w:left="708"/>
        <w:jc w:val="both"/>
        <w:rPr>
          <w:sz w:val="24"/>
          <w:szCs w:val="24"/>
        </w:rPr>
      </w:pPr>
    </w:p>
    <w:p>
      <w:pPr>
        <w:pStyle w:val="P1"/>
        <w:ind w:hanging="708" w:left="708"/>
        <w:jc w:val="both"/>
        <w:rPr>
          <w:sz w:val="24"/>
          <w:szCs w:val="24"/>
        </w:rPr>
      </w:pPr>
    </w:p>
    <w:p>
      <w:pPr>
        <w:pStyle w:val="P1"/>
        <w:jc w:val="both"/>
        <w:rPr>
          <w:sz w:val="24"/>
          <w:szCs w:val="24"/>
        </w:rPr>
      </w:pPr>
    </w:p>
    <w:p>
      <w:pPr>
        <w:pStyle w:val="P1"/>
        <w:ind w:hanging="708" w:left="708"/>
        <w:jc w:val="both"/>
        <w:rPr>
          <w:sz w:val="24"/>
          <w:szCs w:val="24"/>
        </w:rPr>
      </w:pPr>
    </w:p>
    <w:p>
      <w:pPr>
        <w:pStyle w:val="P1"/>
        <w:ind w:hanging="708" w:left="708"/>
        <w:jc w:val="both"/>
        <w:rPr>
          <w:sz w:val="24"/>
          <w:szCs w:val="24"/>
        </w:rPr>
      </w:pPr>
    </w:p>
    <w:p>
      <w:pPr>
        <w:pStyle w:val="P1"/>
        <w:ind w:hanging="708" w:left="708"/>
        <w:jc w:val="both"/>
        <w:rPr>
          <w:sz w:val="24"/>
          <w:szCs w:val="24"/>
        </w:rPr>
      </w:pPr>
    </w:p>
    <w:p>
      <w:pPr>
        <w:pStyle w:val="P1"/>
        <w:ind w:hanging="708" w:left="708"/>
        <w:jc w:val="both"/>
        <w:rPr>
          <w:sz w:val="24"/>
          <w:szCs w:val="24"/>
        </w:rPr>
      </w:pPr>
    </w:p>
    <w:p>
      <w:pPr>
        <w:pStyle w:val="P1"/>
        <w:ind w:hanging="708" w:left="708"/>
        <w:jc w:val="both"/>
        <w:rPr>
          <w:sz w:val="24"/>
          <w:szCs w:val="24"/>
        </w:rPr>
      </w:pPr>
      <w:r>
        <w:rPr>
          <w:sz w:val="24"/>
          <w:szCs w:val="24"/>
        </w:rPr>
        <w:t>...///2.-</w:t>
      </w:r>
    </w:p>
    <w:p>
      <w:pPr>
        <w:pStyle w:val="P1"/>
        <w:ind w:hanging="708" w:left="708"/>
        <w:jc w:val="both"/>
        <w:rPr>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Art.3:</w:t>
      </w:r>
      <w:r>
        <w:rPr>
          <w:rFonts w:ascii="Courier New" w:hAnsi="Courier New"/>
          <w:sz w:val="24"/>
          <w:szCs w:val="24"/>
        </w:rPr>
        <w:t xml:space="preserve"> </w:t>
      </w:r>
      <w:r>
        <w:rPr>
          <w:rFonts w:ascii="Courier New" w:hAnsi="Courier New"/>
          <w:b w:val="1"/>
          <w:bCs w:val="1"/>
          <w:sz w:val="24"/>
          <w:szCs w:val="24"/>
        </w:rPr>
        <w:t xml:space="preserve">AUTORÍZASE </w:t>
      </w:r>
      <w:r>
        <w:rPr>
          <w:rFonts w:ascii="Courier New" w:hAnsi="Courier New"/>
          <w:sz w:val="24"/>
          <w:szCs w:val="24"/>
        </w:rPr>
        <w:t>la realización de los “Quinchos 2004” en el predio del Tajamar, durante los días 19 al 24 de Setiembre próximos y durante los días previos, desde el 10 de Setiembre y posteriores, hasta el día 1° de Octubre inclusive, para el armado y arreglo del predio, en el espacio que la Secretaría de Obras y Servicios Públicos determine y bajo la supervisión de la misma.</w:t>
      </w:r>
    </w:p>
    <w:p>
      <w:pPr>
        <w:rPr>
          <w:rFonts w:ascii="Courier New" w:hAnsi="Courier New"/>
          <w:sz w:val="24"/>
          <w:szCs w:val="24"/>
        </w:rPr>
      </w:pPr>
    </w:p>
    <w:p>
      <w:pPr>
        <w:pStyle w:val="P3"/>
        <w:ind w:hanging="709"/>
        <w:jc w:val="both"/>
      </w:pPr>
      <w:r>
        <w:rPr>
          <w:b w:val="1"/>
          <w:bCs w:val="1"/>
          <w:u w:val="single"/>
        </w:rPr>
        <w:t>Art.4:</w:t>
      </w:r>
      <w:r>
        <w:t xml:space="preserve"> </w:t>
      </w:r>
      <w:r>
        <w:rPr>
          <w:b w:val="1"/>
          <w:bCs w:val="1"/>
        </w:rPr>
        <w:t xml:space="preserve">AUTORÍZASE </w:t>
      </w:r>
      <w:r>
        <w:t>a la Comisión de Padres y Alumnos Quinchos 2004 al uso de la vereda del Tajamar desde el Reloj Público hasta la escalinata sobre Avda. Arturo Illía, donde desemboca Avda. Sarmiento, durante los días 19 al 24 de setiembre de 2004.</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Art.5:</w:t>
      </w:r>
      <w:r>
        <w:rPr>
          <w:sz w:val="24"/>
          <w:szCs w:val="24"/>
        </w:rPr>
        <w:t xml:space="preserve"> </w:t>
      </w:r>
      <w:r>
        <w:rPr>
          <w:b w:val="1"/>
          <w:bCs w:val="1"/>
          <w:sz w:val="24"/>
          <w:szCs w:val="24"/>
        </w:rPr>
        <w:t xml:space="preserve">LAS </w:t>
      </w:r>
      <w:r>
        <w:rPr>
          <w:sz w:val="24"/>
          <w:szCs w:val="24"/>
        </w:rPr>
        <w:t>autorizaciones dadas en los Arts. 3 y 4 quedan condicionadas a la firma de un convenio previo con los padres de los alumnos, en los términos y condiciones que el Departamento Ejecutivo determine y a los fines de preservar el orden y el cuidado de las instalaciones del predio y su entorno. Este convenio será firmado ad referéndum del Honorable Concejo Deliberante.</w:t>
      </w:r>
    </w:p>
    <w:p>
      <w:pPr>
        <w:pStyle w:val="P1"/>
        <w:ind w:hanging="709" w:left="709"/>
        <w:jc w:val="both"/>
      </w:pPr>
    </w:p>
    <w:p>
      <w:pPr>
        <w:pStyle w:val="P1"/>
        <w:ind w:hanging="709" w:left="709"/>
        <w:jc w:val="both"/>
        <w:rPr>
          <w:sz w:val="24"/>
          <w:szCs w:val="24"/>
        </w:rPr>
      </w:pPr>
      <w:r>
        <w:rPr>
          <w:b w:val="1"/>
          <w:bCs w:val="1"/>
          <w:sz w:val="24"/>
          <w:szCs w:val="24"/>
          <w:u w:val="single"/>
        </w:rPr>
        <w:t>Art.6</w:t>
      </w:r>
      <w:r>
        <w:rPr>
          <w:sz w:val="24"/>
          <w:szCs w:val="24"/>
        </w:rPr>
        <w:t xml:space="preserve">: </w:t>
      </w:r>
      <w:r>
        <w:rPr>
          <w:b w:val="1"/>
          <w:bCs w:val="1"/>
          <w:sz w:val="24"/>
          <w:szCs w:val="24"/>
        </w:rPr>
        <w:t xml:space="preserve">COMUNÍQUESE, </w:t>
      </w:r>
      <w:r>
        <w:rPr>
          <w:sz w:val="24"/>
          <w:szCs w:val="24"/>
        </w:rPr>
        <w:t>publíquese, transcríbase al libro de Ordenanzas y archívese.</w:t>
      </w:r>
    </w:p>
    <w:p>
      <w:pPr>
        <w:pStyle w:val="P1"/>
        <w:jc w:val="both"/>
        <w:rPr>
          <w:sz w:val="24"/>
          <w:szCs w:val="24"/>
        </w:rPr>
      </w:pPr>
    </w:p>
    <w:p>
      <w:pPr>
        <w:pStyle w:val="P1"/>
        <w:jc w:val="right"/>
        <w:rPr>
          <w:sz w:val="24"/>
          <w:szCs w:val="24"/>
        </w:rPr>
      </w:pPr>
    </w:p>
    <w:p>
      <w:pPr>
        <w:pStyle w:val="P1"/>
        <w:jc w:val="both"/>
        <w:rPr>
          <w:b w:val="1"/>
          <w:bCs w:val="1"/>
          <w:sz w:val="24"/>
          <w:szCs w:val="24"/>
        </w:rPr>
      </w:pPr>
    </w:p>
    <w:p>
      <w:pPr>
        <w:jc w:val="both"/>
        <w:rPr>
          <w:rFonts w:ascii="Courier New" w:hAnsi="Courier New"/>
          <w:b w:val="1"/>
          <w:bCs w:val="1"/>
          <w:sz w:val="24"/>
          <w:szCs w:val="24"/>
        </w:rPr>
      </w:pPr>
      <w:r>
        <w:rPr>
          <w:rFonts w:ascii="Courier New" w:hAnsi="Courier New"/>
          <w:b w:val="1"/>
          <w:bCs w:val="1"/>
          <w:sz w:val="24"/>
          <w:szCs w:val="24"/>
        </w:rPr>
        <w:t>DADA EN LA SALA DE SESIONES DEL HONORABLE CONCEJO DELIBERANTE A DIECINUEVE DÍAS DEL MES DE AGOSTO DEL AÑO DOS MIL CUATRO.</w:t>
      </w:r>
    </w:p>
    <w:p>
      <w:pPr>
        <w:pStyle w:val="P1"/>
        <w:jc w:val="both"/>
        <w:rPr>
          <w:b w:val="1"/>
          <w:bCs w:val="1"/>
          <w:sz w:val="24"/>
          <w:szCs w:val="24"/>
        </w:rPr>
      </w:pPr>
    </w:p>
    <w:p>
      <w:pPr>
        <w:pStyle w:val="P1"/>
        <w:jc w:val="both"/>
        <w:rPr>
          <w:b w:val="1"/>
          <w:bCs w:val="1"/>
          <w:sz w:val="24"/>
          <w:szCs w:val="24"/>
        </w:rPr>
      </w:pPr>
    </w:p>
    <w:sectPr>
      <w:type w:val="nextPage"/>
      <w:pgSz w:w="11907" w:h="16840" w:code="0"/>
      <w:pgMar w:left="1701" w:right="1418" w:top="1418" w:bottom="1418" w:header="720" w:footer="720" w:gutter="0"/>
    </w:sectPr>
  </w:body>
</w:document>
</file>

<file path=word/numbering.xml><?xml version="1.0" encoding="utf-8"?>
<w:numbering xmlns:w="http://schemas.openxmlformats.org/wordprocessingml/2006/main">
  <w:abstractNum w:abstractNumId="0">
    <w:nsid w:val="46654931"/>
    <w:multiLevelType w:val="multilevel"/>
    <w:lvl w:ilvl="0">
      <w:start w:val="1"/>
      <w:numFmt w:val="lowerLetter"/>
      <w:suff w:val="tab"/>
      <w:lvlText w:val="%1)"/>
      <w:lvlJc w:val="left"/>
      <w:pPr>
        <w:ind w:hanging="480" w:left="1188"/>
        <w:tabs>
          <w:tab w:val="num" w:pos="1188"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paragraph" w:styleId="P3">
    <w:name w:val="Body Text Indent"/>
    <w:basedOn w:val="P0"/>
    <w:next w:val="P3"/>
    <w:pPr>
      <w:ind w:left="709"/>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~wd07.tmp</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2026-07-09T19:15:29Z</dcterms:created>
  <cp:lastModifiedBy>Federico Parisi</cp:lastModifiedBy>
  <cp:lastPrinted>2004-09-10T14:34:00Z</cp:lastPrinted>
  <dcterms:modified xsi:type="dcterms:W3CDTF">2026-07-09T19:15:29Z</dcterms:modified>
  <cp:revision>2</cp:revision>
  <dc:title>1¾   «        M</dc:title>
</cp:coreProperties>
</file>