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7030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745/02;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mencionado expediente es iniciado con nota presentada por el Sr. Morillo, José, D.N.I. Nº 12.067.986, domiciliado en calle Agustín Aguirre 2100, solicitando eximición de Tasa por Servicios a la Propiedad a planes de pagos de la Identificación catastral Nº 03-01-169-001-000;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dicho expediente fue tratado por la Comisión de Hacienda en junio de este año;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es titular del inmueble en cuestión;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no tiene ocupación, realizando changas;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su grupo familiar lo integra su hija de 18 años,  estudiante, y su nieta de 11 meses;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no presentan problemas de salud;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suma adeudada es muy importante y se inicia en el año 90, con un plan de pago Nº 471102;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estudio socioeconómico a fs. 18 vta. expresa que viven en su casa sin terminar;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Dirección de Ingresos Públicos informa deuda actualizada del inmueble y que parte de la misma está en juicio y en plan de pagos caído;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no se informa sobre la deuda actualizada de Tasa por servicios a la Propiedad y de Administración de Cementerio de la Identificación Nº 20665;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26 de agosto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hanging="708" w:left="708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firstLine="708" w:left="708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SOLICITAR </w:t>
      </w:r>
      <w:r>
        <w:rPr>
          <w:sz w:val="24"/>
          <w:szCs w:val="24"/>
        </w:rPr>
        <w:t xml:space="preserve">al Departamento Ejecutivo que interceda  ante el Procurador actuante para que deje sin efecto el juicio iniciado por la deuda que en concepto de Tasa por Servicios a la Propiedad mantiene con el Municipio la designación catastral Nº 03-01-169-001-000.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OTORGAR </w:t>
      </w:r>
      <w:r>
        <w:rPr>
          <w:sz w:val="24"/>
          <w:szCs w:val="24"/>
        </w:rPr>
        <w:t>el beneficio de la Ordenanza Nº 5485 debiendo abonar a partir de la promulgación de la presente una cuota social de $7 por mes por Tasa por Servicios a la Propiedad de la designación catastral mencionada en el Art.1.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</w:t>
      </w:r>
      <w:r>
        <w:rPr>
          <w:b w:val="1"/>
          <w:bCs w:val="1"/>
          <w:sz w:val="24"/>
          <w:szCs w:val="24"/>
          <w:u w:val="single"/>
        </w:rPr>
        <w:t>rt.3</w:t>
      </w:r>
      <w:r>
        <w:rPr>
          <w:b w:val="1"/>
          <w:bCs w:val="1"/>
          <w:sz w:val="24"/>
          <w:szCs w:val="24"/>
        </w:rPr>
        <w:t xml:space="preserve">: POR </w:t>
      </w:r>
      <w:r>
        <w:rPr>
          <w:sz w:val="24"/>
          <w:szCs w:val="24"/>
        </w:rPr>
        <w:t>cada cuota abonada en término eximir de 2 (dos) cuotas de la deuda que mantiene con el Municipio por Tasa por Servicios a la Propiedad de la designación catastral mencionada ut supra hasta la promulgación de la presente.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EN </w:t>
      </w:r>
      <w:r>
        <w:rPr>
          <w:sz w:val="24"/>
          <w:szCs w:val="24"/>
        </w:rPr>
        <w:t>caso de cambio de titularidad transferencia del inmueble o mejora en la situación socioeconómica este beneficio caducará en forma inmediata.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VEINTISEIS DIAS DEL MES DE AGOSTO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2026-07-09T19:14:19Z</dcterms:created>
  <cp:lastModifiedBy>Federico Parisi</cp:lastModifiedBy>
  <cp:lastPrinted>2004-09-03T14:27:00Z</cp:lastPrinted>
  <dcterms:modified xsi:type="dcterms:W3CDTF">2026-07-09T19:14:19Z</dcterms:modified>
  <cp:revision>2</cp:revision>
  <dc:title>1¾   «        M</dc:title>
</cp:coreProperties>
</file>