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7037</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1835/02;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left="0"/>
        <w:rPr>
          <w:rFonts w:ascii="Courier New" w:hAnsi="Courier New"/>
        </w:rPr>
      </w:pPr>
    </w:p>
    <w:p>
      <w:pPr>
        <w:pStyle w:val="P2"/>
        <w:ind w:hanging="709"/>
        <w:rPr>
          <w:rFonts w:ascii="Courier New" w:hAnsi="Courier New"/>
        </w:rPr>
      </w:pPr>
      <w:r>
        <w:rPr>
          <w:rFonts w:ascii="Courier New" w:hAnsi="Courier New"/>
        </w:rPr>
        <w:tab/>
        <w:t xml:space="preserve">Que el mismo es iniciado con nota de la Sra. Barrios, Teresa Aída, D.N.I. Nº2.778.861, domiciliada en calle Ayacucho 83 de Bº Liniers, en la cual solicita eximición de deuda que en concepto de  Tasa por Servicios a la Propiedad de la designación catastral Nº04-01-101-017-000 mantiene con el Municipio y abonar cuota social por el mismo tributo;</w:t>
      </w:r>
    </w:p>
    <w:p>
      <w:pPr>
        <w:pStyle w:val="P2"/>
        <w:ind w:hanging="1"/>
        <w:rPr>
          <w:rFonts w:ascii="Courier New" w:hAnsi="Courier New"/>
        </w:rPr>
      </w:pPr>
    </w:p>
    <w:p>
      <w:pPr>
        <w:pStyle w:val="P2"/>
        <w:ind w:hanging="1"/>
        <w:rPr>
          <w:rFonts w:ascii="Courier New" w:hAnsi="Courier New"/>
        </w:rPr>
      </w:pPr>
      <w:r>
        <w:rPr>
          <w:rFonts w:ascii="Courier New" w:hAnsi="Courier New"/>
        </w:rPr>
        <w:t>Que dicho expediente ya fue tratado por esta Comisión el con fecha 16 de junio de 2004;</w:t>
      </w:r>
    </w:p>
    <w:p>
      <w:pPr>
        <w:pStyle w:val="P2"/>
        <w:ind w:hanging="1"/>
        <w:rPr>
          <w:rFonts w:ascii="Courier New" w:hAnsi="Courier New"/>
        </w:rPr>
      </w:pPr>
    </w:p>
    <w:p>
      <w:pPr>
        <w:pStyle w:val="P2"/>
        <w:ind w:hanging="1"/>
        <w:rPr>
          <w:rFonts w:ascii="Courier New" w:hAnsi="Courier New"/>
        </w:rPr>
      </w:pPr>
      <w:r>
        <w:rPr>
          <w:rFonts w:ascii="Courier New" w:hAnsi="Courier New"/>
        </w:rPr>
        <w:t>Que tuvo despacho aprobado por unanimidad en Sesión de fecha 17 de junio de 2004;</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a fs. 22 la Dirección de Ingresos Públicos solicita la Ordenanza correspondiente para facultar a esa Dirección a realizar Plan de Pagos a Valores Históricos;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02 de septiembre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p>
    <w:p>
      <w:pPr>
        <w:pStyle w:val="P1"/>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REALIZAR </w:t>
      </w:r>
      <w:r>
        <w:rPr>
          <w:sz w:val="24"/>
          <w:szCs w:val="24"/>
        </w:rPr>
        <w:t>Plan de Pagos a valores históricos con cuotas que no superen los QUINCE PESOS ($15.-) mensuales por la deuda que en concepto de Tasa por Servicios a la Propiedad de la designación catastral Nº04-01-101-017-000, mantiene la Sra. Barrios, Teresa Aída D.N.I. Nº2.778.861 con el Municipio, hasta la promulgación de la presente.</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 xml:space="preserve">OTORGAR </w:t>
      </w:r>
      <w:r>
        <w:rPr>
          <w:sz w:val="24"/>
          <w:szCs w:val="24"/>
        </w:rPr>
        <w:t>el beneficio de la Ordenanza 5485, Art.3, fijando una cuota mensual de TRES PESOS ($3.-) en concepto de Tasa por Servicios a la Propiedad, respecto de la designación catastral Nº04-01-101-017-000, a partir de la promulgación de la presente Ordenanza</w:t>
      </w:r>
      <w:r>
        <w:rPr>
          <w:b w:val="1"/>
          <w:bCs w:val="1"/>
          <w:sz w:val="24"/>
          <w:szCs w:val="24"/>
        </w:rPr>
        <w:t xml:space="preserve">.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EN </w:t>
      </w:r>
      <w:r>
        <w:rPr>
          <w:sz w:val="24"/>
          <w:szCs w:val="24"/>
        </w:rPr>
        <w:t>caso de transferencia del inmueble, cambio de titularidad o mejora en la situación socioeconómica de la solicitante, el beneficio otorgado en el Art.2 de la presente Ordenanza caducará automáticamente.</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Art.4</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DOS DÍAS DEL MES DE SEPTIEMBRE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2026-07-09T19:13:51Z</dcterms:created>
  <cp:lastModifiedBy>Federico Parisi</cp:lastModifiedBy>
  <cp:lastPrinted>2005-07-18T14:47:00Z</cp:lastPrinted>
  <dcterms:modified xsi:type="dcterms:W3CDTF">2026-07-09T19:13:51Z</dcterms:modified>
  <cp:revision>2</cp:revision>
  <dc:title>1¾   «        M</dc:title>
</cp:coreProperties>
</file>