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  <w:r>
        <w:rPr>
          <w:b w:val="1"/>
          <w:bCs w:val="1"/>
          <w:sz w:val="24"/>
          <w:szCs w:val="24"/>
          <w:u w:val="single"/>
        </w:rPr>
        <w:t>ORDENANZA Nº7082</w:t>
      </w:r>
    </w:p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  </w:t>
      </w:r>
    </w:p>
    <w:p>
      <w:pPr>
        <w:pStyle w:val="P1"/>
        <w:ind w:hanging="709" w:left="709"/>
        <w:jc w:val="center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Visto: Los expedientes Nº 570/I/04, 498/03 y 987/02 donde se solicita exención de Tasa por Servicios a la Propiedad; y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</w:t>
      </w: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C O N S I D E R A N D O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left="0"/>
        <w:rPr>
          <w:rFonts w:ascii="Courier New" w:hAnsi="Courier New"/>
        </w:rPr>
      </w:pPr>
      <w:r>
        <w:rPr>
          <w:rFonts w:ascii="Courier New" w:hAnsi="Courier New"/>
        </w:rPr>
        <w:tab/>
      </w:r>
    </w:p>
    <w:p>
      <w:pPr>
        <w:pStyle w:val="P2"/>
        <w:ind w:hanging="709"/>
        <w:rPr>
          <w:rFonts w:ascii="Courier New" w:hAnsi="Courier New"/>
        </w:rPr>
      </w:pPr>
      <w:r>
        <w:rPr>
          <w:rFonts w:ascii="Courier New" w:hAnsi="Courier New"/>
        </w:rPr>
        <w:tab/>
        <w:t>Que se trata de solicitudes de exenciones para diferentes vecinos de nuestra ciudad;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los respectivos estudios socioeconómicos informan que se trata de familias que atraviesan difíciles situaciones que determinan la imposibilidad de hacer frente a muchas necesidades básicas;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Que, generalmente, realizan trabajos inestables (changas) para poder lograr su subsistencia mínima;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generalmente, presentan importantes problemas de salud con tratamiento permanente y gastos en medicamentos que les impide afrontar la deuda contraída;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a través de las respectivas oficinas municipales se cumplimentaron los informes necesarios a los efectos de hacer posibles las exenciones solicitadas;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evaluado el contenido de cada uno de los Expedientes mencionados por Comisión de Hacienda, la misma emite despacho accediendo a lo solicitado en el marco de las Ordenanzas vigentes, despacho aprobado por unanimidad en Sesión Ordinaria de fecha 14 de octubre de 2004.  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1"/>
        <w:ind w:firstLine="1" w:left="708"/>
        <w:rPr>
          <w:b w:val="1"/>
          <w:bCs w:val="1"/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ALTA GRACIA SANCIONA CON FUERZA DE ORDENANZA</w:t>
      </w: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 xml:space="preserve">EXÍMASE </w:t>
      </w:r>
      <w:r>
        <w:rPr>
          <w:sz w:val="24"/>
          <w:szCs w:val="24"/>
        </w:rPr>
        <w:t>a los propietarios de los siguientes inmuebles, en los porcentajes abajo detallados, de la deuda que en concepto de Tasa por Servicios a la Propiedad mantienen con el Municipio respecto de las designaciones catastrales correspondientes:</w:t>
      </w:r>
    </w:p>
    <w:p>
      <w:pPr>
        <w:pStyle w:val="P1"/>
        <w:jc w:val="right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...///2.-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tbl>
      <w:tblPr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7"/>
        <w:gridCol w:w="2189"/>
        <w:gridCol w:w="1417"/>
        <w:gridCol w:w="1418"/>
        <w:gridCol w:w="850"/>
        <w:gridCol w:w="1961"/>
      </w:tblGrid>
      <w:tr>
        <w:tc>
          <w:tcPr>
            <w:tcW w:w="1567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Titular</w:t>
            </w:r>
          </w:p>
        </w:tc>
        <w:tc>
          <w:tcPr>
            <w:tcW w:w="2189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Designación Catast.</w:t>
            </w:r>
          </w:p>
        </w:tc>
        <w:tc>
          <w:tcPr>
            <w:tcW w:w="1417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Expte. N°</w:t>
            </w:r>
          </w:p>
        </w:tc>
        <w:tc>
          <w:tcPr>
            <w:tcW w:w="1418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% Exención</w:t>
            </w:r>
          </w:p>
        </w:tc>
        <w:tc>
          <w:tcPr>
            <w:tcW w:w="850" w:type="dxa"/>
          </w:tcPr>
          <w:p>
            <w:pPr>
              <w:pStyle w:val="P1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Desde</w:t>
            </w:r>
          </w:p>
        </w:tc>
        <w:tc>
          <w:tcPr>
            <w:tcW w:w="1961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Hasta</w:t>
            </w:r>
          </w:p>
        </w:tc>
      </w:tr>
      <w:tr>
        <w:tblPrEx>
          <w:tblBorders>
            <w:top w:val="single" w:sz="4" w:space="0" w:shadow="0" w:frame="0" w:color="auto"/>
            <w:left w:val="single" w:sz="4" w:space="0" w:shadow="0" w:frame="0" w:color="auto"/>
            <w:bottom w:val="single" w:sz="4" w:space="0" w:shadow="0" w:frame="0" w:color="auto"/>
            <w:right w:val="single" w:sz="4" w:space="0" w:shadow="0" w:frame="0" w:color="auto"/>
            <w:insideH w:val="single" w:sz="4" w:space="0" w:shadow="0" w:frame="0" w:color="auto"/>
            <w:insideV w:val="single" w:sz="4" w:space="0" w:shadow="0" w:frame="0" w:color="auto"/>
          </w:tblBorders>
          <w:tblLayout w:type="fixed"/>
        </w:tblPrEx>
        <w:tc>
          <w:tcPr>
            <w:tcW w:w="1567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Iriarte, María Mercedes</w:t>
            </w:r>
          </w:p>
        </w:tc>
        <w:tc>
          <w:tcPr>
            <w:tcW w:w="2189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1-01-236-009-000</w:t>
            </w:r>
          </w:p>
        </w:tc>
        <w:tc>
          <w:tcPr>
            <w:tcW w:w="1417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570/I/04</w:t>
            </w:r>
          </w:p>
        </w:tc>
        <w:tc>
          <w:tcPr>
            <w:tcW w:w="1418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850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961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Set. 2004</w:t>
            </w:r>
          </w:p>
        </w:tc>
      </w:tr>
      <w:tr>
        <w:tblPrEx>
          <w:tblBorders>
            <w:top w:val="single" w:sz="4" w:space="0" w:shadow="0" w:frame="0" w:color="auto"/>
            <w:left w:val="single" w:sz="4" w:space="0" w:shadow="0" w:frame="0" w:color="auto"/>
            <w:bottom w:val="single" w:sz="4" w:space="0" w:shadow="0" w:frame="0" w:color="auto"/>
            <w:right w:val="single" w:sz="4" w:space="0" w:shadow="0" w:frame="0" w:color="auto"/>
            <w:insideH w:val="single" w:sz="4" w:space="0" w:shadow="0" w:frame="0" w:color="auto"/>
            <w:insideV w:val="single" w:sz="4" w:space="0" w:shadow="0" w:frame="0" w:color="auto"/>
          </w:tblBorders>
          <w:tblLayout w:type="fixed"/>
        </w:tblPrEx>
        <w:tc>
          <w:tcPr>
            <w:tcW w:w="1567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Freytes, Mario</w:t>
            </w:r>
          </w:p>
        </w:tc>
        <w:tc>
          <w:tcPr>
            <w:tcW w:w="2189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3-01-017-004-000</w:t>
            </w:r>
          </w:p>
        </w:tc>
        <w:tc>
          <w:tcPr>
            <w:tcW w:w="1417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498/03</w:t>
            </w:r>
          </w:p>
        </w:tc>
        <w:tc>
          <w:tcPr>
            <w:tcW w:w="1418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850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961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Promulgación de la presente</w:t>
            </w:r>
          </w:p>
        </w:tc>
      </w:tr>
      <w:tr>
        <w:tblPrEx>
          <w:tblBorders>
            <w:top w:val="single" w:sz="4" w:space="0" w:shadow="0" w:frame="0" w:color="auto"/>
            <w:left w:val="single" w:sz="4" w:space="0" w:shadow="0" w:frame="0" w:color="auto"/>
            <w:bottom w:val="single" w:sz="4" w:space="0" w:shadow="0" w:frame="0" w:color="auto"/>
            <w:right w:val="single" w:sz="4" w:space="0" w:shadow="0" w:frame="0" w:color="auto"/>
            <w:insideH w:val="single" w:sz="4" w:space="0" w:shadow="0" w:frame="0" w:color="auto"/>
            <w:insideV w:val="single" w:sz="4" w:space="0" w:shadow="0" w:frame="0" w:color="auto"/>
          </w:tblBorders>
          <w:tblLayout w:type="fixed"/>
        </w:tblPrEx>
        <w:tc>
          <w:tcPr>
            <w:tcW w:w="1567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Sosa, Nidia Ana</w:t>
            </w:r>
          </w:p>
        </w:tc>
        <w:tc>
          <w:tcPr>
            <w:tcW w:w="2189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1-01-388-001-000</w:t>
            </w:r>
          </w:p>
        </w:tc>
        <w:tc>
          <w:tcPr>
            <w:tcW w:w="1417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987/02</w:t>
            </w:r>
          </w:p>
        </w:tc>
        <w:tc>
          <w:tcPr>
            <w:tcW w:w="1418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850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961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Promulgación de la presente</w:t>
            </w:r>
          </w:p>
        </w:tc>
      </w:tr>
    </w:tbl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OTÓRGUESE</w:t>
      </w:r>
      <w:r>
        <w:rPr>
          <w:sz w:val="24"/>
          <w:szCs w:val="24"/>
        </w:rPr>
        <w:t xml:space="preserve"> el beneficio de la Ordenanza 5485, Art.3 a los propietarios de los siguientes inmuebles fijando los montos a abonar que se detallan a continuación, en concepto de Tasa por Servicios a la Propiedad de las correspondientes designaciones catastrales:</w:t>
      </w:r>
    </w:p>
    <w:p>
      <w:pPr>
        <w:pStyle w:val="P1"/>
        <w:rPr>
          <w:sz w:val="24"/>
          <w:szCs w:val="24"/>
        </w:rPr>
      </w:pPr>
    </w:p>
    <w:p>
      <w:pPr>
        <w:pStyle w:val="P1"/>
        <w:rPr>
          <w:sz w:val="24"/>
          <w:szCs w:val="24"/>
        </w:rPr>
      </w:pPr>
    </w:p>
    <w:tbl>
      <w:tblPr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7"/>
        <w:gridCol w:w="2047"/>
        <w:gridCol w:w="1559"/>
        <w:gridCol w:w="1276"/>
        <w:gridCol w:w="1985"/>
        <w:gridCol w:w="968"/>
      </w:tblGrid>
      <w:tr>
        <w:tc>
          <w:tcPr>
            <w:tcW w:w="1567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Titular</w:t>
            </w:r>
          </w:p>
        </w:tc>
        <w:tc>
          <w:tcPr>
            <w:tcW w:w="2047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Designación Catast.</w:t>
            </w:r>
          </w:p>
        </w:tc>
        <w:tc>
          <w:tcPr>
            <w:tcW w:w="1559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Expte. N°</w:t>
            </w:r>
          </w:p>
        </w:tc>
        <w:tc>
          <w:tcPr>
            <w:tcW w:w="1276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Cuota mensual</w:t>
            </w:r>
          </w:p>
        </w:tc>
        <w:tc>
          <w:tcPr>
            <w:tcW w:w="1985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Desde</w:t>
            </w:r>
          </w:p>
        </w:tc>
        <w:tc>
          <w:tcPr>
            <w:tcW w:w="968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Hasta</w:t>
            </w:r>
          </w:p>
        </w:tc>
      </w:tr>
      <w:tr>
        <w:tblPrEx>
          <w:tblBorders>
            <w:top w:val="single" w:sz="4" w:space="0" w:shadow="0" w:frame="0" w:color="auto"/>
            <w:left w:val="single" w:sz="4" w:space="0" w:shadow="0" w:frame="0" w:color="auto"/>
            <w:bottom w:val="single" w:sz="4" w:space="0" w:shadow="0" w:frame="0" w:color="auto"/>
            <w:right w:val="single" w:sz="4" w:space="0" w:shadow="0" w:frame="0" w:color="auto"/>
            <w:insideH w:val="single" w:sz="4" w:space="0" w:shadow="0" w:frame="0" w:color="auto"/>
            <w:insideV w:val="single" w:sz="4" w:space="0" w:shadow="0" w:frame="0" w:color="auto"/>
          </w:tblBorders>
          <w:tblLayout w:type="fixed"/>
        </w:tblPrEx>
        <w:tc>
          <w:tcPr>
            <w:tcW w:w="1567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Freytes, Mario</w:t>
            </w:r>
          </w:p>
        </w:tc>
        <w:tc>
          <w:tcPr>
            <w:tcW w:w="2047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3-01-017-004-000</w:t>
            </w:r>
          </w:p>
        </w:tc>
        <w:tc>
          <w:tcPr>
            <w:tcW w:w="1559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498/03</w:t>
            </w:r>
          </w:p>
        </w:tc>
        <w:tc>
          <w:tcPr>
            <w:tcW w:w="1276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$3.-</w:t>
            </w:r>
          </w:p>
        </w:tc>
        <w:tc>
          <w:tcPr>
            <w:tcW w:w="1985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Promulgación de la presente</w:t>
            </w:r>
          </w:p>
        </w:tc>
        <w:tc>
          <w:tcPr>
            <w:tcW w:w="968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Dic. 2005</w:t>
            </w:r>
          </w:p>
        </w:tc>
      </w:tr>
      <w:tr>
        <w:tblPrEx>
          <w:tblBorders>
            <w:top w:val="single" w:sz="4" w:space="0" w:shadow="0" w:frame="0" w:color="auto"/>
            <w:left w:val="single" w:sz="4" w:space="0" w:shadow="0" w:frame="0" w:color="auto"/>
            <w:bottom w:val="single" w:sz="4" w:space="0" w:shadow="0" w:frame="0" w:color="auto"/>
            <w:right w:val="single" w:sz="4" w:space="0" w:shadow="0" w:frame="0" w:color="auto"/>
            <w:insideH w:val="single" w:sz="4" w:space="0" w:shadow="0" w:frame="0" w:color="auto"/>
            <w:insideV w:val="single" w:sz="4" w:space="0" w:shadow="0" w:frame="0" w:color="auto"/>
          </w:tblBorders>
          <w:tblLayout w:type="fixed"/>
        </w:tblPrEx>
        <w:tc>
          <w:tcPr>
            <w:tcW w:w="1567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Sosa, Nidia Ana</w:t>
            </w:r>
          </w:p>
        </w:tc>
        <w:tc>
          <w:tcPr>
            <w:tcW w:w="2047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1-01-388-001-000</w:t>
            </w:r>
          </w:p>
        </w:tc>
        <w:tc>
          <w:tcPr>
            <w:tcW w:w="1559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987/02</w:t>
            </w:r>
          </w:p>
        </w:tc>
        <w:tc>
          <w:tcPr>
            <w:tcW w:w="1276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$5.-</w:t>
            </w:r>
          </w:p>
        </w:tc>
        <w:tc>
          <w:tcPr>
            <w:tcW w:w="1985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Promulgación de la presente</w:t>
            </w:r>
          </w:p>
        </w:tc>
        <w:tc>
          <w:tcPr>
            <w:tcW w:w="968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Dic. 2005</w:t>
            </w:r>
          </w:p>
        </w:tc>
      </w:tr>
    </w:tbl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Art.3</w:t>
      </w:r>
      <w:r>
        <w:rPr>
          <w:b w:val="1"/>
          <w:bCs w:val="1"/>
          <w:sz w:val="24"/>
          <w:szCs w:val="24"/>
        </w:rPr>
        <w:t xml:space="preserve">: CADÚQUESE </w:t>
      </w:r>
      <w:r>
        <w:rPr>
          <w:sz w:val="24"/>
          <w:szCs w:val="24"/>
        </w:rPr>
        <w:t>en forma inmediata los beneficios otorgados en los artículos 1, 2 y 3 de la presente, en</w:t>
      </w:r>
      <w:r>
        <w:rPr>
          <w:b w:val="1"/>
          <w:bCs w:val="1"/>
          <w:sz w:val="24"/>
          <w:szCs w:val="24"/>
        </w:rPr>
        <w:t xml:space="preserve"> </w:t>
      </w:r>
      <w:r>
        <w:rPr>
          <w:sz w:val="24"/>
          <w:szCs w:val="24"/>
        </w:rPr>
        <w:t>caso de transferencia de los inmuebles de las designaciones catastrales correspondientes o variaciones en las situaciones socioeconómicas, para los propietarios de los siguientes inmuebles:</w:t>
      </w: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tbl>
      <w:tblPr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35"/>
        <w:gridCol w:w="3135"/>
        <w:gridCol w:w="3135"/>
      </w:tblGrid>
      <w:tr>
        <w:tc>
          <w:tcPr>
            <w:tcW w:w="3135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Titular</w:t>
            </w:r>
          </w:p>
        </w:tc>
        <w:tc>
          <w:tcPr>
            <w:tcW w:w="3135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Designación Catast.</w:t>
            </w:r>
          </w:p>
        </w:tc>
        <w:tc>
          <w:tcPr>
            <w:tcW w:w="3135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Expte N°</w:t>
            </w:r>
          </w:p>
        </w:tc>
      </w:tr>
      <w:tr>
        <w:tblPrEx>
          <w:tblBorders>
            <w:top w:val="single" w:sz="4" w:space="0" w:shadow="0" w:frame="0" w:color="auto"/>
            <w:left w:val="single" w:sz="4" w:space="0" w:shadow="0" w:frame="0" w:color="auto"/>
            <w:bottom w:val="single" w:sz="4" w:space="0" w:shadow="0" w:frame="0" w:color="auto"/>
            <w:right w:val="single" w:sz="4" w:space="0" w:shadow="0" w:frame="0" w:color="auto"/>
            <w:insideH w:val="single" w:sz="4" w:space="0" w:shadow="0" w:frame="0" w:color="auto"/>
            <w:insideV w:val="single" w:sz="4" w:space="0" w:shadow="0" w:frame="0" w:color="auto"/>
          </w:tblBorders>
          <w:tblLayout w:type="fixed"/>
        </w:tblPrEx>
        <w:tc>
          <w:tcPr>
            <w:tcW w:w="3135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Freytes, Mario</w:t>
            </w:r>
          </w:p>
        </w:tc>
        <w:tc>
          <w:tcPr>
            <w:tcW w:w="3135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3-01-017-004-000</w:t>
            </w:r>
          </w:p>
        </w:tc>
        <w:tc>
          <w:tcPr>
            <w:tcW w:w="3135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498/03</w:t>
            </w:r>
          </w:p>
        </w:tc>
      </w:tr>
      <w:tr>
        <w:tblPrEx>
          <w:tblBorders>
            <w:top w:val="single" w:sz="4" w:space="0" w:shadow="0" w:frame="0" w:color="auto"/>
            <w:left w:val="single" w:sz="4" w:space="0" w:shadow="0" w:frame="0" w:color="auto"/>
            <w:bottom w:val="single" w:sz="4" w:space="0" w:shadow="0" w:frame="0" w:color="auto"/>
            <w:right w:val="single" w:sz="4" w:space="0" w:shadow="0" w:frame="0" w:color="auto"/>
            <w:insideH w:val="single" w:sz="4" w:space="0" w:shadow="0" w:frame="0" w:color="auto"/>
            <w:insideV w:val="single" w:sz="4" w:space="0" w:shadow="0" w:frame="0" w:color="auto"/>
          </w:tblBorders>
          <w:tblLayout w:type="fixed"/>
        </w:tblPrEx>
        <w:tc>
          <w:tcPr>
            <w:tcW w:w="3135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Sosa, Nidia Ana</w:t>
            </w:r>
          </w:p>
        </w:tc>
        <w:tc>
          <w:tcPr>
            <w:tcW w:w="3135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1-01-388-001-000</w:t>
            </w:r>
          </w:p>
        </w:tc>
        <w:tc>
          <w:tcPr>
            <w:tcW w:w="3135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987/02</w:t>
            </w:r>
          </w:p>
        </w:tc>
      </w:tr>
    </w:tbl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right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...///3.-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Art.4</w:t>
      </w:r>
      <w:r>
        <w:rPr>
          <w:b w:val="1"/>
          <w:bCs w:val="1"/>
          <w:sz w:val="24"/>
          <w:szCs w:val="24"/>
        </w:rPr>
        <w:t xml:space="preserve">: SOLICITAR </w:t>
      </w:r>
      <w:r>
        <w:rPr>
          <w:sz w:val="24"/>
          <w:szCs w:val="24"/>
        </w:rPr>
        <w:t>al Sr. Intendente que interceda ante los Procuradores actuantes a los fines de dejar sin efecto los honorarios y los juicios iniciados a los propietarios de los siguientes inmuebles respecto de los correspondientes años que se detallan a continuación: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tbl>
      <w:tblPr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51"/>
        <w:gridCol w:w="2681"/>
        <w:gridCol w:w="2268"/>
        <w:gridCol w:w="2104"/>
      </w:tblGrid>
      <w:tr>
        <w:tc>
          <w:tcPr>
            <w:tcW w:w="2351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Titular</w:t>
            </w:r>
          </w:p>
        </w:tc>
        <w:tc>
          <w:tcPr>
            <w:tcW w:w="2681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Designación Catast.</w:t>
            </w:r>
          </w:p>
        </w:tc>
        <w:tc>
          <w:tcPr>
            <w:tcW w:w="2268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Expte. N°</w:t>
            </w:r>
          </w:p>
        </w:tc>
        <w:tc>
          <w:tcPr>
            <w:tcW w:w="2104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Deuda de los años</w:t>
            </w:r>
          </w:p>
        </w:tc>
      </w:tr>
      <w:tr>
        <w:tblPrEx>
          <w:tblBorders>
            <w:top w:val="single" w:sz="4" w:space="0" w:shadow="0" w:frame="0" w:color="auto"/>
            <w:left w:val="single" w:sz="4" w:space="0" w:shadow="0" w:frame="0" w:color="auto"/>
            <w:bottom w:val="single" w:sz="4" w:space="0" w:shadow="0" w:frame="0" w:color="auto"/>
            <w:right w:val="single" w:sz="4" w:space="0" w:shadow="0" w:frame="0" w:color="auto"/>
            <w:insideH w:val="single" w:sz="4" w:space="0" w:shadow="0" w:frame="0" w:color="auto"/>
            <w:insideV w:val="single" w:sz="4" w:space="0" w:shadow="0" w:frame="0" w:color="auto"/>
          </w:tblBorders>
          <w:tblLayout w:type="fixed"/>
        </w:tblPrEx>
        <w:tc>
          <w:tcPr>
            <w:tcW w:w="2351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Freytes, Mario</w:t>
            </w:r>
          </w:p>
        </w:tc>
        <w:tc>
          <w:tcPr>
            <w:tcW w:w="2681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3-01-017-004-000</w:t>
            </w:r>
          </w:p>
        </w:tc>
        <w:tc>
          <w:tcPr>
            <w:tcW w:w="2268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498/03</w:t>
            </w:r>
          </w:p>
        </w:tc>
        <w:tc>
          <w:tcPr>
            <w:tcW w:w="2104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</w:tbl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Art.5</w:t>
      </w:r>
      <w:r>
        <w:rPr>
          <w:b w:val="1"/>
          <w:bCs w:val="1"/>
          <w:sz w:val="24"/>
          <w:szCs w:val="24"/>
        </w:rPr>
        <w:t>: COMUNÍQUESE,</w:t>
      </w:r>
      <w:r>
        <w:rPr>
          <w:sz w:val="24"/>
          <w:szCs w:val="24"/>
        </w:rPr>
        <w:t xml:space="preserve"> publíquese, transcríbase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>DADA EN LA SALA DE SESIONES DEL HONORABLE CONCEJO DELIBERANTE A CATORCE DÍAS DEL MES DE OCTUBRE DEL AÑO DOS MIL CUATRO.</w:t>
      </w:r>
    </w:p>
    <w:sectPr>
      <w:type w:val="nextPage"/>
      <w:pgSz w:w="11907" w:h="16840" w:code="0"/>
      <w:pgMar w:left="132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2026-07-09T19:13:17Z</dcterms:created>
  <cp:lastModifiedBy>Federico Parisi</cp:lastModifiedBy>
  <cp:lastPrinted>2004-11-10T14:34:00Z</cp:lastPrinted>
  <dcterms:modified xsi:type="dcterms:W3CDTF">2026-07-09T19:13:17Z</dcterms:modified>
  <cp:revision>2</cp:revision>
  <dc:title>1¾   «        M</dc:title>
</cp:coreProperties>
</file>