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4"/>
        <w:rPr>
          <w:rFonts w:ascii="Courier New" w:hAnsi="Courier New"/>
        </w:rPr>
      </w:pPr>
    </w:p>
    <w:p>
      <w:pPr>
        <w:pStyle w:val="P4"/>
        <w:rPr>
          <w:rFonts w:ascii="Courier New" w:hAnsi="Courier New"/>
          <w:color w:val="000000"/>
        </w:rPr>
      </w:pPr>
      <w:r>
        <w:rPr>
          <w:rFonts w:ascii="Courier New" w:hAnsi="Courier New"/>
        </w:rPr>
        <w:t xml:space="preserve">ORDENANZA  Nº  7088</w:t>
      </w: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pStyle w:val="P5"/>
        <w:rPr>
          <w:rFonts w:ascii="Courier New" w:hAnsi="Courier New"/>
        </w:rPr>
      </w:pPr>
    </w:p>
    <w:p>
      <w:pPr>
        <w:pStyle w:val="P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Visto: El Expediente Nº 2074/02; y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pStyle w:val="P1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/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Que el mismo es iniciado mediante nota presentada  por la Sra. Noemí Estela Gigena en la cual solicita eximición de deuda que en concepto de Tasa por Servicios a la Propiedad de la designación catastral Nº 01-01-269-002-000, mantiene con el Municipio a la fecha;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el estudio socioeconómico manifiesta que se trata de una persona desocupada, sin ingresos económicos, recibiendo la ayuda de padres y hermanos para su subsistencia, mas una cuota alimentaria de NOVENTA PESOS ($90.-) por su hija menor de edad;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sus niños asisten a comedores comunitarios para su alimentación, encontrándose la menor de un año con bajo peso;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21 de octubre de 2004.   </w:t>
      </w:r>
    </w:p>
    <w:p>
      <w:pPr>
        <w:pStyle w:val="P1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ALTA GRACIA SANCIONA CON FUERZA DE ORDENANZA</w:t>
      </w: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Art.1</w:t>
      </w:r>
      <w:r>
        <w:rPr>
          <w:rFonts w:ascii="Courier New" w:hAnsi="Courier New"/>
          <w:b w:val="1"/>
          <w:bCs w:val="1"/>
          <w:sz w:val="24"/>
          <w:szCs w:val="24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>OTORGAR</w:t>
      </w:r>
      <w:r>
        <w:rPr>
          <w:rFonts w:ascii="Courier New" w:hAnsi="Courier New"/>
          <w:sz w:val="24"/>
          <w:szCs w:val="24"/>
        </w:rPr>
        <w:t xml:space="preserve"> a la Sra. Noemí Estela Gigena el beneficio de la Ordenanza 5485, Art.3, fijando el monto a abonar en concepto de Tasa por Servicios a la Propiedad  de la designación catastral Nº 01-01-269-002-000, en TRES PESOS ($3.-) por mes, desde la promulgación de la presente Ordenanza hasta diciembre de 2005 inclusive.                                 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Art.2</w:t>
      </w:r>
      <w:r>
        <w:rPr>
          <w:rFonts w:ascii="Courier New" w:hAnsi="Courier New"/>
          <w:b w:val="1"/>
          <w:bCs w:val="1"/>
          <w:sz w:val="24"/>
          <w:szCs w:val="24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EXIMIR </w:t>
      </w:r>
      <w:r>
        <w:rPr>
          <w:rFonts w:ascii="Courier New" w:hAnsi="Courier New"/>
          <w:sz w:val="24"/>
          <w:szCs w:val="24"/>
        </w:rPr>
        <w:t>por cada cuota abonada en término de una cuota de la deuda anterior.</w:t>
      </w: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...///2.-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Art.3</w:t>
      </w:r>
      <w:r>
        <w:rPr>
          <w:rFonts w:ascii="Courier New" w:hAnsi="Courier New"/>
          <w:b w:val="1"/>
          <w:bCs w:val="1"/>
          <w:sz w:val="24"/>
          <w:szCs w:val="24"/>
        </w:rPr>
        <w:t>: EN</w:t>
      </w:r>
      <w:r>
        <w:rPr>
          <w:rFonts w:ascii="Courier New" w:hAnsi="Courier New"/>
          <w:sz w:val="24"/>
          <w:szCs w:val="24"/>
        </w:rPr>
        <w:t xml:space="preserve"> caso de variar su situación económica o transferencia de la propiedad, este beneficio caducará en forma automática.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4</w:t>
      </w:r>
      <w:r>
        <w:rPr>
          <w:rFonts w:ascii="Courier New" w:hAnsi="Courier New"/>
          <w:b w:val="1"/>
          <w:bCs w:val="1"/>
          <w:sz w:val="24"/>
          <w:szCs w:val="24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ESTE </w:t>
      </w:r>
      <w:r>
        <w:rPr>
          <w:rFonts w:ascii="Courier New" w:hAnsi="Courier New"/>
          <w:sz w:val="24"/>
          <w:szCs w:val="24"/>
        </w:rPr>
        <w:t>beneficio se hará efectivo previa presentación ante la Oficina de Catastro por parte de la solicitante, de la titularidad del inmueble debidamente legalizada.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5</w:t>
      </w:r>
      <w:r>
        <w:rPr>
          <w:rFonts w:ascii="Courier New" w:hAnsi="Courier New"/>
          <w:b w:val="1"/>
          <w:bCs w:val="1"/>
          <w:sz w:val="24"/>
          <w:szCs w:val="24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SOLICITAR </w:t>
      </w:r>
      <w:r>
        <w:rPr>
          <w:rFonts w:ascii="Courier New" w:hAnsi="Courier New"/>
          <w:sz w:val="24"/>
          <w:szCs w:val="24"/>
        </w:rPr>
        <w:t xml:space="preserve">al Sr. Intendente Municipal interceda ante el Procurador actuante a dejar sin efecto el juicio y honorarios por cuotas impagas.   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6</w:t>
      </w:r>
      <w:r>
        <w:rPr>
          <w:rFonts w:ascii="Courier New" w:hAnsi="Courier New"/>
          <w:b w:val="1"/>
          <w:bCs w:val="1"/>
          <w:sz w:val="24"/>
          <w:szCs w:val="24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COMUNÍQUESE,</w:t>
      </w:r>
      <w:r>
        <w:rPr>
          <w:rFonts w:ascii="Courier New" w:hAnsi="Courier New"/>
          <w:sz w:val="24"/>
          <w:szCs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  <w:r>
        <w:rPr>
          <w:rFonts w:ascii="Courier New" w:hAnsi="Courier New"/>
        </w:rPr>
        <w:t>DADA EN LA SALA DE SESIONES DEL HONORABLE CONCEJO DELIBERANTE A VEINTIOCHO DÍAS DEL MES DE OCTUBRE DEL AÑO DOS MIL CUATRO.</w:t>
      </w:r>
    </w:p>
    <w:sectPr>
      <w:type w:val="nextPage"/>
      <w:pgSz w:w="11907" w:h="16840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BreakWrappedTables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AR"/>
    </w:rPr>
  </w:style>
  <w:style w:type="paragraph" w:styleId="P1">
    <w:name w:val="Heading 1"/>
    <w:basedOn w:val="P0"/>
    <w:next w:val="P0"/>
    <w:pPr>
      <w:keepNext w:val="1"/>
      <w:ind w:left="709"/>
      <w:jc w:val="center"/>
      <w:outlineLvl w:val="0"/>
    </w:pPr>
    <w:rPr>
      <w:b w:val="1"/>
      <w:bCs w:val="1"/>
      <w:sz w:val="24"/>
      <w:szCs w:val="24"/>
    </w:rPr>
  </w:style>
  <w:style w:type="paragraph" w:styleId="P2">
    <w:name w:val="Header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Footer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itle"/>
    <w:basedOn w:val="P0"/>
    <w:next w:val="P4"/>
    <w:pPr>
      <w:jc w:val="center"/>
    </w:pPr>
    <w:rPr>
      <w:b w:val="1"/>
      <w:bCs w:val="1"/>
      <w:sz w:val="24"/>
      <w:szCs w:val="24"/>
      <w:u w:val="single"/>
    </w:rPr>
  </w:style>
  <w:style w:type="paragraph" w:styleId="P5">
    <w:name w:val="Body Text Indent"/>
    <w:basedOn w:val="P0"/>
    <w:next w:val="P5"/>
    <w:pPr>
      <w:ind w:hanging="709" w:left="709"/>
      <w:jc w:val="both"/>
    </w:pPr>
    <w:rPr>
      <w:sz w:val="24"/>
      <w:szCs w:val="24"/>
    </w:rPr>
  </w:style>
  <w:style w:type="paragraph" w:styleId="P6">
    <w:name w:val="Body Text Indent 2"/>
    <w:basedOn w:val="P0"/>
    <w:next w:val="P6"/>
    <w:pPr>
      <w:ind w:left="709"/>
      <w:jc w:val="both"/>
    </w:pPr>
    <w:rPr>
      <w:sz w:val="24"/>
      <w:szCs w:val="24"/>
    </w:rPr>
  </w:style>
  <w:style w:type="paragraph" w:styleId="P7">
    <w:name w:val="Body Text"/>
    <w:basedOn w:val="P0"/>
    <w:next w:val="P7"/>
    <w:pPr>
      <w:jc w:val="both"/>
    </w:pPr>
    <w:rPr>
      <w:b w:val="1"/>
      <w:bCs w:val="1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todos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2026-07-09T19:12:21Z</dcterms:created>
  <cp:lastModifiedBy>Federico Parisi</cp:lastModifiedBy>
  <cp:lastPrinted>2004-01-06T11:30:00Z</cp:lastPrinted>
  <dcterms:modified xsi:type="dcterms:W3CDTF">2026-07-09T19:12:21Z</dcterms:modified>
  <cp:revision>2</cp:revision>
  <dc:title>ORDENANZA  Nº  5354</dc:title>
</cp:coreProperties>
</file>