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Nº</w:t>
      </w:r>
      <w:r>
        <w:rPr>
          <w:b w:val="1"/>
          <w:bCs w:val="1"/>
          <w:sz w:val="24"/>
          <w:szCs w:val="24"/>
          <w:u w:val="single"/>
        </w:rPr>
        <w:t xml:space="preserve"> </w:t>
      </w:r>
      <w:r>
        <w:rPr>
          <w:b w:val="1"/>
          <w:bCs w:val="1"/>
          <w:sz w:val="24"/>
          <w:szCs w:val="24"/>
          <w:u w:val="single"/>
        </w:rPr>
        <w:t>7094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1472/03;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se trata de la solicitud de exención para un vecino de nuestra ciudad;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respectivo estudio socioeconómico informa que se trata de una familia que atraviesa difíciles situaciones que determinan la imposibilidad de hacer frente a muchas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generalmente,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mencionado por Comisión de Hacienda, la misma emite despacho accediendo a lo solicitado en el marco de las Ordenanzas vigentes, despacho aprobado por unanimidad en Sesión Ordinaria de fecha 21 de octubre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EXÍMASE </w:t>
      </w:r>
      <w:r>
        <w:rPr>
          <w:sz w:val="24"/>
          <w:szCs w:val="24"/>
        </w:rPr>
        <w:t xml:space="preserve">al titular de las siguientes identificaciones, de la deuda que en concepto de Introducción al Cementerio y de Tasa por Servicios de Administración y Mantenimiento de los 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right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>Cementerios mantiene con el Municipio a la fecha, de acuerdo a lo prescripto por la Ordenanza 3873, Cap. IV, Art.150.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189"/>
        <w:gridCol w:w="1417"/>
        <w:gridCol w:w="1418"/>
        <w:gridCol w:w="850"/>
        <w:gridCol w:w="1961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Identifica</w:t>
            </w:r>
            <w:r>
              <w:rPr>
                <w:b w:val="1"/>
                <w:bCs w:val="1"/>
                <w:sz w:val="24"/>
                <w:szCs w:val="24"/>
              </w:rPr>
              <w:t>ci</w:t>
            </w:r>
            <w:r>
              <w:rPr>
                <w:b w:val="1"/>
                <w:bCs w:val="1"/>
                <w:sz w:val="24"/>
                <w:szCs w:val="24"/>
              </w:rPr>
              <w:t>ón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% Exención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Villarreal, Víctor Hugo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1379, 1398 y 1469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1472/03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PROTOCOLÍCESE,</w:t>
      </w:r>
      <w:r>
        <w:rPr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</w:t>
      </w:r>
      <w:r>
        <w:rPr>
          <w:b w:val="1"/>
          <w:bCs w:val="1"/>
          <w:sz w:val="24"/>
          <w:szCs w:val="24"/>
        </w:rPr>
        <w:t>E CONCEJO DELIBERANTE A CUATRO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>NOVIEMBRE</w:t>
      </w:r>
      <w:r>
        <w:rPr>
          <w:b w:val="1"/>
          <w:bCs w:val="1"/>
          <w:sz w:val="24"/>
          <w:szCs w:val="24"/>
        </w:rPr>
        <w:t xml:space="preserve">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2026-07-09T19:12:13Z</dcterms:created>
  <cp:lastModifiedBy>Federico Parisi</cp:lastModifiedBy>
  <cp:lastPrinted>2004-11-26T15:57:00Z</cp:lastPrinted>
  <dcterms:modified xsi:type="dcterms:W3CDTF">2026-07-09T19:12:13Z</dcterms:modified>
  <cp:revision>2</cp:revision>
  <dc:title>1¾   «        M</dc:title>
</cp:coreProperties>
</file>