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</w:t>
      </w:r>
      <w:r>
        <w:rPr>
          <w:b w:val="1"/>
          <w:bCs w:val="1"/>
          <w:sz w:val="24"/>
          <w:szCs w:val="24"/>
          <w:u w:val="single"/>
        </w:rPr>
        <w:t xml:space="preserve"> </w:t>
      </w:r>
      <w:r>
        <w:rPr>
          <w:b w:val="1"/>
          <w:bCs w:val="1"/>
          <w:sz w:val="24"/>
          <w:szCs w:val="24"/>
          <w:u w:val="single"/>
        </w:rPr>
        <w:t>7095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1687/02 donde se solicita exención de Tasa por Servicios a la Propiedad;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se trata de la solicitud de exención para un vecino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respectivo estudio socioeconómico informa que se trata de una familia que atraviesa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mencionado por Comisión de Hacienda, la misma emite despacho accediendo a lo solicitado en el marco de las Ordenanzas vigentes, despacho aprobado por unanimidad en Sesión Ordinaria de fecha 14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 xml:space="preserve">a la propietaria del siguiente inmueble, en los porcentajes abajo detallados, de la deuda  que  en concepto 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>de Tasa por Servicios a la Propiedad mantiene con el Municipio respecto de la designación catastral correspondiente: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Luna, María Cristina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04-01-065-003-000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1687/02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REAL</w:t>
      </w:r>
      <w:r>
        <w:rPr>
          <w:b w:val="1"/>
          <w:bCs w:val="1"/>
          <w:sz w:val="24"/>
          <w:szCs w:val="24"/>
        </w:rPr>
        <w:t>Í</w:t>
      </w:r>
      <w:r>
        <w:rPr>
          <w:b w:val="1"/>
          <w:bCs w:val="1"/>
          <w:sz w:val="24"/>
          <w:szCs w:val="24"/>
        </w:rPr>
        <w:t xml:space="preserve">CESE </w:t>
      </w:r>
      <w:r>
        <w:rPr>
          <w:sz w:val="24"/>
          <w:szCs w:val="24"/>
        </w:rPr>
        <w:t>con el</w:t>
      </w:r>
      <w:r>
        <w:rPr>
          <w:b w:val="1"/>
          <w:bCs w:val="1"/>
          <w:sz w:val="24"/>
          <w:szCs w:val="24"/>
        </w:rPr>
        <w:t xml:space="preserve">  </w:t>
      </w:r>
      <w:r>
        <w:rPr>
          <w:sz w:val="24"/>
          <w:szCs w:val="24"/>
        </w:rPr>
        <w:t xml:space="preserve">VEINTE POR CIENTO (20%) restante de la deuda que en concepto de Tasa por Servicios a la Propiedad mantiene la designación catastral correspondiente, un Plan de Pagos a la titular del siguiente inmueble, en cuotas mensuales que no superen los montos que se detallan a continuación: </w:t>
      </w:r>
    </w:p>
    <w:p>
      <w:pPr>
        <w:pStyle w:val="P1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472"/>
        <w:gridCol w:w="1134"/>
        <w:gridCol w:w="2835"/>
        <w:gridCol w:w="1418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Nº</w:t>
            </w:r>
          </w:p>
        </w:tc>
        <w:tc>
          <w:tcPr>
            <w:tcW w:w="2472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 xml:space="preserve">Cuota Máxima </w:t>
            </w:r>
          </w:p>
        </w:tc>
        <w:tc>
          <w:tcPr>
            <w:tcW w:w="28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1687/02</w:t>
            </w:r>
          </w:p>
        </w:tc>
        <w:tc>
          <w:tcPr>
            <w:tcW w:w="2472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04-01-065-003-000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$15.-</w:t>
            </w:r>
          </w:p>
        </w:tc>
        <w:tc>
          <w:tcPr>
            <w:tcW w:w="28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</w:tr>
    </w:tbl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PROTOCOLÍCESE,</w:t>
      </w:r>
      <w:r>
        <w:rPr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CUATRO DÍAS DEL MES DE NOVIEMBRE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2026-07-09T19:12:05Z</dcterms:created>
  <cp:lastModifiedBy>Federico Parisi</cp:lastModifiedBy>
  <cp:lastPrinted>2004-12-07T12:39:00Z</cp:lastPrinted>
  <dcterms:modified xsi:type="dcterms:W3CDTF">2026-07-09T19:12:05Z</dcterms:modified>
  <cp:revision>2</cp:revision>
  <dc:title>1¾   «        M</dc:title>
</cp:coreProperties>
</file>