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Nº7103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Nº1667/03 donde se solicita exención de Tasa por Servicios a la Propiedad;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se trata de una solicitud de exención para un vecino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respectivo estudio socioeconómico informa que se trata de una familia que atraviesa difíciles situaciones que determinan la imposibilidad de hacer frente a muchas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mencionado por Comisión de Hacienda, la misma emite despacho accediendo a lo solicitado en el marco de las Ordenanzas vigentes, despacho aprobado por unanimidad en Sesión Ordinaria de fecha 14 de octubre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EXÍMASE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doce (12) cuotas abonadas en término, igual cantidad de cuotas de la deuda anterior, a la propietaria del siguiente inmueble que se detalla a continuación: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189"/>
        <w:gridCol w:w="1417"/>
        <w:gridCol w:w="1418"/>
        <w:gridCol w:w="850"/>
        <w:gridCol w:w="1961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Gigena, Dominga Rosario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</w:p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03-01-449-009-000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1667/04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 OT</w:t>
      </w:r>
      <w:r>
        <w:rPr>
          <w:b w:val="1"/>
          <w:bCs w:val="1"/>
          <w:sz w:val="24"/>
          <w:szCs w:val="24"/>
        </w:rPr>
        <w:t>ÓRGUESE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el beneficio de la Ordenanza 5485, Art.3 a la propietaria del siguiente inmueble fijando el monto a abonar que se detalla a continuación, en concepto de Tasa por Servicios a la Propiedad de la correspondiente designación catastral:</w:t>
      </w:r>
    </w:p>
    <w:p>
      <w:pPr>
        <w:pStyle w:val="P1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047"/>
        <w:gridCol w:w="1559"/>
        <w:gridCol w:w="1276"/>
        <w:gridCol w:w="1985"/>
        <w:gridCol w:w="968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Cuota mensual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Desde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Gigena, Dominga Rosario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3-01-449-009-000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1667/04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Enero/2005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CADÚQUESE </w:t>
      </w:r>
      <w:r>
        <w:rPr>
          <w:sz w:val="24"/>
          <w:szCs w:val="24"/>
        </w:rPr>
        <w:t>en forma inmediata los beneficios otorgados en los artículos 1 y 2 de la presente, en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caso de transferencia del inmueble de la designación catastral correspondiente o variaciones en la situación socioeconómica, para la propietaria del siguiente inmueble: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5"/>
        <w:gridCol w:w="3135"/>
        <w:gridCol w:w="3135"/>
      </w:tblGrid>
      <w:tr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 N°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Gigena, Dominga Rosario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3-01-449-009-000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1667/04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 xml:space="preserve">: SOLICITAR </w:t>
      </w:r>
      <w:r>
        <w:rPr>
          <w:sz w:val="24"/>
          <w:szCs w:val="24"/>
        </w:rPr>
        <w:t>al Sr. Intendente que interceda ante el Procurador actuante a los fines de dejar sin efecto los honorarios y los juicios iniciados a los propietarios de los siguientes inmuebles respecto de los correspondientes años que se detallan a continuación: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1"/>
        <w:gridCol w:w="2681"/>
        <w:gridCol w:w="2268"/>
        <w:gridCol w:w="2104"/>
      </w:tblGrid>
      <w:tr>
        <w:tc>
          <w:tcPr>
            <w:tcW w:w="235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Deuda de los años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235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Gigena, Dominga Rosario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3-01-449-009-000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1667/04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...///3.-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PROTOCOLICESE</w:t>
      </w:r>
      <w:r>
        <w:rPr>
          <w:b w:val="1"/>
          <w:bCs w:val="1"/>
          <w:sz w:val="24"/>
          <w:szCs w:val="24"/>
        </w:rPr>
        <w:t>,</w:t>
      </w:r>
      <w:r>
        <w:rPr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b w:val="1"/>
          <w:bCs w:val="1"/>
          <w:sz w:val="24"/>
          <w:szCs w:val="24"/>
        </w:rPr>
        <w:t>ONCE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NOVIEMBRE</w:t>
      </w:r>
      <w:r>
        <w:rPr>
          <w:b w:val="1"/>
          <w:bCs w:val="1"/>
          <w:sz w:val="24"/>
          <w:szCs w:val="24"/>
        </w:rPr>
        <w:t xml:space="preserve">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2026-07-09T19:11:40Z</dcterms:created>
  <cp:lastModifiedBy>Federico Parisi</cp:lastModifiedBy>
  <cp:lastPrinted>2004-11-10T14:34:00Z</cp:lastPrinted>
  <dcterms:modified xsi:type="dcterms:W3CDTF">2026-07-09T19:11:40Z</dcterms:modified>
  <cp:revision>2</cp:revision>
  <dc:title>1¾   «        M</dc:title>
</cp:coreProperties>
</file>