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jc w:val="center"/>
        <w:rPr>
          <w:sz w:val="24"/>
          <w:szCs w:val="24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 xml:space="preserve">ORDENANZA  Nº  7110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  <w:r>
        <w:rPr>
          <w:sz w:val="24"/>
          <w:szCs w:val="24"/>
        </w:rPr>
        <w:t>Visto: El Expediente Nº2325/04; y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</w:t>
      </w: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C O N S I D E R A N D O</w:t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left="708"/>
        <w:rPr>
          <w:rFonts w:ascii="Courier New" w:hAnsi="Courier New"/>
        </w:rPr>
      </w:pPr>
    </w:p>
    <w:p>
      <w:pPr>
        <w:pStyle w:val="P2"/>
        <w:ind w:left="708"/>
        <w:rPr>
          <w:rFonts w:ascii="Courier New" w:hAnsi="Courier New"/>
        </w:rPr>
      </w:pPr>
      <w:r>
        <w:rPr>
          <w:rFonts w:ascii="Courier New" w:hAnsi="Courier New"/>
        </w:rPr>
        <w:t>Que el mismo es iniciado con nota presentada por el Sr. La Spina, Rosario L.E. Nº6.405.856, domiciliado en calle Chile 468, en la cual solicita eximición de Tasa de Industria y Comercio;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el solicitante no registra deuda de Tasa por Servicios de Inspección General e Higiene; 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se trata de una persona con 57 años como contribuyente del Municipio;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su taller de tornería es uno de los escasos en la ciudad; 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hace dos años el Centro de Comercio, Industria y Turismo distinguiera al solicitante por los 55 años de labor;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también recibiera el solicitante un recordatorio por los 28 años brindados a la Comunidad como Bombero Voluntario;  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el trabajo ha mermado y por ello el solicitante pide eximición de la Tasa por servicios de Inspección General e Higiene; 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sería muy triste para el solicitante “bajar las persianas” y no contar con dinero para afrontar los impuestos;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evaluado el contenido del Expediente por Comisión de Hacienda, la misma emite despacho accediendo a lo solicitado, despacho aprobado por unanimidad en Sesión Ordinaria de fecha 18 de noviembre de 2004.</w:t>
      </w:r>
    </w:p>
    <w:p>
      <w:pPr>
        <w:pStyle w:val="P1"/>
        <w:ind w:firstLine="708" w:left="708"/>
        <w:rPr>
          <w:sz w:val="24"/>
          <w:szCs w:val="24"/>
        </w:rPr>
      </w:pPr>
      <w:r>
        <w:t xml:space="preserve">...///   </w:t>
      </w:r>
    </w:p>
    <w:p>
      <w:pPr>
        <w:pStyle w:val="P1"/>
        <w:ind w:left="1416"/>
        <w:rPr>
          <w:sz w:val="24"/>
          <w:szCs w:val="24"/>
        </w:rPr>
      </w:pPr>
    </w:p>
    <w:p>
      <w:pPr>
        <w:pStyle w:val="P1"/>
        <w:ind w:left="1416"/>
        <w:rPr>
          <w:sz w:val="24"/>
          <w:szCs w:val="24"/>
        </w:rPr>
      </w:pPr>
    </w:p>
    <w:p>
      <w:pPr>
        <w:pStyle w:val="P1"/>
        <w:ind w:left="1416"/>
        <w:rPr>
          <w:sz w:val="24"/>
          <w:szCs w:val="24"/>
        </w:rPr>
      </w:pPr>
    </w:p>
    <w:p>
      <w:pPr>
        <w:pStyle w:val="P1"/>
        <w:ind w:hanging="707" w:left="1416"/>
        <w:rPr>
          <w:sz w:val="24"/>
          <w:szCs w:val="24"/>
        </w:rPr>
      </w:pPr>
      <w:r>
        <w:rPr>
          <w:sz w:val="24"/>
          <w:szCs w:val="24"/>
        </w:rPr>
        <w:t>...///2.-</w:t>
      </w:r>
    </w:p>
    <w:p>
      <w:pPr>
        <w:pStyle w:val="P1"/>
        <w:ind w:left="1416"/>
        <w:rPr>
          <w:sz w:val="24"/>
          <w:szCs w:val="24"/>
        </w:rPr>
      </w:pPr>
    </w:p>
    <w:p>
      <w:pPr>
        <w:pStyle w:val="P1"/>
        <w:ind w:left="1416"/>
        <w:rPr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ALTA GRACIA SANCIONA CON FUERZA DE ORDENANZA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</w:t>
      </w:r>
      <w:r>
        <w:rPr>
          <w:b w:val="1"/>
          <w:bCs w:val="1"/>
          <w:sz w:val="24"/>
          <w:szCs w:val="24"/>
          <w:u w:val="single"/>
        </w:rPr>
        <w:t>t.1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EX</w:t>
      </w:r>
      <w:r>
        <w:rPr>
          <w:b w:val="1"/>
          <w:bCs w:val="1"/>
          <w:sz w:val="24"/>
          <w:szCs w:val="24"/>
        </w:rPr>
        <w:t>ÍMASE</w:t>
      </w:r>
      <w:r>
        <w:rPr>
          <w:b w:val="1"/>
          <w:bCs w:val="1"/>
          <w:sz w:val="24"/>
          <w:szCs w:val="24"/>
        </w:rPr>
        <w:t xml:space="preserve"> </w:t>
      </w:r>
      <w:r>
        <w:rPr>
          <w:sz w:val="24"/>
          <w:szCs w:val="24"/>
        </w:rPr>
        <w:t>en un CIENTO POR CIENTO (100%) al Sr. Rosario La Spina, L.E. Nº6.405.856, contribuyente Nº 8252, Legajo Nº 1310 de la Tasa por Servicios de Inspección General e Higiene, desde la promulgación de la presente Ordenanza hasta diciembre de 2005.</w:t>
      </w: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Art.2</w:t>
      </w:r>
      <w:r>
        <w:rPr>
          <w:b w:val="1"/>
          <w:bCs w:val="1"/>
          <w:sz w:val="24"/>
          <w:szCs w:val="24"/>
        </w:rPr>
        <w:t xml:space="preserve">: </w:t>
      </w:r>
      <w:r>
        <w:rPr>
          <w:b w:val="1"/>
          <w:bCs w:val="1"/>
          <w:sz w:val="24"/>
          <w:szCs w:val="24"/>
        </w:rPr>
        <w:t>EL</w:t>
      </w:r>
      <w:r>
        <w:rPr>
          <w:sz w:val="24"/>
          <w:szCs w:val="24"/>
        </w:rPr>
        <w:t xml:space="preserve"> beneficio del Art.1 de la presente Ordenanza tendrá vigencia siempre que el Sr. La Spina cumpla con los siguientes requisitos acordados con los miembros de la Comisión de Hacienda:</w:t>
      </w:r>
    </w:p>
    <w:p>
      <w:pPr>
        <w:pStyle w:val="P1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Que conste en una Declaración Jurada Policial que el peticionante se compromete a trabajar de a ratos como un hobbie.</w:t>
      </w: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Que en caso de concretarse la enseñanza de su oficio, la misma sea realizada por el Sr. La Spina  Ad-Honorem. 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Art.3</w:t>
      </w:r>
      <w:r>
        <w:rPr>
          <w:b w:val="1"/>
          <w:bCs w:val="1"/>
          <w:sz w:val="24"/>
          <w:szCs w:val="24"/>
        </w:rPr>
        <w:t xml:space="preserve">: PROTOCOLÍCESE, </w:t>
      </w:r>
      <w:r>
        <w:rPr>
          <w:sz w:val="24"/>
          <w:szCs w:val="24"/>
        </w:rPr>
        <w:t>comuníquese, publíquese en el boletín Oficial de la ciudad de Alta Gracia, transcríbase al Libro de Ordenanzas y archívese.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52"/>
          <w:szCs w:val="52"/>
        </w:rPr>
      </w:pPr>
      <w:r>
        <w:rPr>
          <w:b w:val="1"/>
          <w:bCs w:val="1"/>
          <w:sz w:val="24"/>
          <w:szCs w:val="24"/>
        </w:rPr>
        <w:t>DADA EN LA SALA DE SESIONES DEL HONORABLE CONCEJO DELIBERANTE A DIECIOCHO DIAS DEL MES DE NOVIEMBRE DEL AÑO DOS MIL CUATRO.</w:t>
      </w:r>
    </w:p>
    <w:sectPr>
      <w:type w:val="nextPage"/>
      <w:pgMar w:left="1321" w:right="132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5B2E462E"/>
    <w:multiLevelType w:val="multilevel"/>
    <w:lvl w:ilvl="0">
      <w:start w:val="1"/>
      <w:numFmt w:val="lowerLetter"/>
      <w:suff w:val="tab"/>
      <w:lvlText w:val="%1)"/>
      <w:lvlJc w:val="left"/>
      <w:pPr>
        <w:ind w:hanging="540" w:left="1245"/>
        <w:tabs>
          <w:tab w:val="num" w:pos="124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doNotExpandShiftReturn/>
    <w:splitPgBreakAndParaMark/>
    <w:doNotBreakConstrainedForcedTable/>
    <w:doNotVertAlignCellWithSp/>
    <w:footnoteLayoutLikeWW8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Plain Text"/>
    <w:basedOn w:val="P0"/>
    <w:next w:val="P1"/>
    <w:pPr/>
    <w:rPr>
      <w:rFonts w:ascii="Courier New" w:hAnsi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2026-07-09T19:11:23Z</dcterms:created>
  <cp:lastModifiedBy>Federico Parisi</cp:lastModifiedBy>
  <cp:lastPrinted>2004-12-20T18:28:00Z</cp:lastPrinted>
  <dcterms:modified xsi:type="dcterms:W3CDTF">2026-07-09T19:11:23Z</dcterms:modified>
  <cp:revision>2</cp:revision>
  <dc:title>1¾   «        M</dc:title>
</cp:coreProperties>
</file>