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Nº7112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Nº1654/03 en el que se solicita exención de Tasa por Servicios de Administración y Mantenimiento de los Cementerios;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 trata de una solicitud de exención para un vecino de nuestra ciudad;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respectivo estudio socioeconómico informa que se trata de familias que atraviesan difíciles situaciones que determinan la imposibilidad de hacer frente a muchas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generalmente,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mencionado por Comisión de Hacienda, la misma emite despacho accediendo a lo solicitado en el marco de las Ordenanzas vigentes, despacho aprobado por unanimidad en Sesión Ordinaria de fecha 14 de octubre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EXÍMASE </w:t>
      </w:r>
      <w:r>
        <w:rPr>
          <w:sz w:val="24"/>
          <w:szCs w:val="24"/>
        </w:rPr>
        <w:t>a la titular de la siguiente identificación, en los porcentajes abajo detallados, de la deuda que en concepto de Tasa por Servicios de Administración y Mantenimiento de los Cementerios mantienen con el Municipio respecto de las identificaciones correspondientes: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189"/>
        <w:gridCol w:w="1417"/>
        <w:gridCol w:w="1418"/>
        <w:gridCol w:w="850"/>
        <w:gridCol w:w="1961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Identificación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% Exención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Zalazar, Elba Antonia</w:t>
            </w:r>
          </w:p>
        </w:tc>
        <w:tc>
          <w:tcPr>
            <w:tcW w:w="2189" w:type="dxa"/>
          </w:tcPr>
          <w:p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7135 y 5004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1654/03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Diciembre de 2003.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</w:t>
      </w:r>
      <w:r>
        <w:rPr>
          <w:b w:val="1"/>
          <w:bCs w:val="1"/>
          <w:sz w:val="24"/>
          <w:szCs w:val="24"/>
        </w:rPr>
        <w:t xml:space="preserve">ÍMASE </w:t>
      </w:r>
      <w:r>
        <w:rPr>
          <w:sz w:val="24"/>
          <w:szCs w:val="24"/>
        </w:rPr>
        <w:t>a la titular de la siguiente identificación, de la deuda que registra por Introducción y Concesión de uso con el Municipio, respecto de la identificación correspondiente:</w:t>
      </w: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8"/>
        <w:gridCol w:w="3932"/>
        <w:gridCol w:w="3135"/>
      </w:tblGrid>
      <w:tr>
        <w:tc>
          <w:tcPr>
            <w:tcW w:w="233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3932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Identificaci</w:t>
            </w:r>
            <w:r>
              <w:rPr>
                <w:b w:val="1"/>
                <w:bCs w:val="1"/>
                <w:sz w:val="24"/>
                <w:szCs w:val="24"/>
              </w:rPr>
              <w:t>ón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Expediente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2338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Zalazar, Elba Antonia</w:t>
            </w:r>
          </w:p>
        </w:tc>
        <w:tc>
          <w:tcPr>
            <w:tcW w:w="3932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7135</w:t>
            </w:r>
          </w:p>
        </w:tc>
        <w:tc>
          <w:tcPr>
            <w:tcW w:w="3135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1654/03</w:t>
            </w:r>
          </w:p>
        </w:tc>
      </w:tr>
    </w:tbl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PROTOCOL</w:t>
      </w:r>
      <w:r>
        <w:rPr>
          <w:b w:val="1"/>
          <w:bCs w:val="1"/>
          <w:sz w:val="24"/>
          <w:szCs w:val="24"/>
        </w:rPr>
        <w:t>ÍCESE</w:t>
      </w:r>
      <w:r>
        <w:rPr>
          <w:b w:val="1"/>
          <w:bCs w:val="1"/>
          <w:sz w:val="24"/>
          <w:szCs w:val="24"/>
        </w:rPr>
        <w:t>,</w:t>
      </w:r>
      <w:r>
        <w:rPr>
          <w:sz w:val="24"/>
          <w:szCs w:val="24"/>
        </w:rPr>
        <w:t xml:space="preserve"> comuníquese, publíquese en el Boletín Oficial de la ciudad de Alta Gracia,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b w:val="1"/>
          <w:bCs w:val="1"/>
          <w:sz w:val="24"/>
          <w:szCs w:val="24"/>
        </w:rPr>
        <w:t>DIECIOCHO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>NOVIEMBRE</w:t>
      </w:r>
      <w:r>
        <w:rPr>
          <w:b w:val="1"/>
          <w:bCs w:val="1"/>
          <w:sz w:val="24"/>
          <w:szCs w:val="24"/>
        </w:rPr>
        <w:t xml:space="preserve">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2026-07-09T19:11:05Z</dcterms:created>
  <cp:lastModifiedBy>Federico Parisi</cp:lastModifiedBy>
  <cp:lastPrinted>2004-12-09T17:48:00Z</cp:lastPrinted>
  <dcterms:modified xsi:type="dcterms:W3CDTF">2026-07-09T19:11:05Z</dcterms:modified>
  <cp:revision>2</cp:revision>
  <dc:title>1¾   «        M</dc:title>
</cp:coreProperties>
</file>