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7116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Visto: El Expediente Nº 835/01; y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mencionado expediente es iniciado con nota presentada por la Sra. Claudina Pereyra, D.N.I. N° 7.159.450, domiciliada en calle Prudencio Bustos N° 281, quien ofrece cancelar su deuda cediendo un panteón como parte de pago;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27 y por Ordenanza N° 5759 se autorizó al Departamento Ejecutivo a suscribir convenio de tenencia precaria a favor del Municipio y a fs. 33 mediante Decreto N° 853/03 se ratifica en todos sus términos el convenio celebrado entre la Municipalidad de Alta Gracia y la Sra. Claudina Pereyra donde se cancela la deuda que mantenía con esta Municipalidad de Alta Gracia, y ya que a fs.40 se presentó el Sr. Lázaro, Miguel Angel, D.N.I. N° 25.822.829, solicitando la concesión de uso del panteón identificado con el número 281, ofreciendo hacerse cargo de las reparaciones que se necesite realizar y abonar la tasa anual que corresponda;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Legislación General, la misma emite despacho accediendo a lo solicitado aprobado por unanimidad en Sesión Ordinaria del 18 de noviembre de 2004.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TRANSF</w:t>
      </w:r>
      <w:r>
        <w:rPr>
          <w:b w:val="1"/>
          <w:bCs w:val="1"/>
          <w:sz w:val="24"/>
          <w:szCs w:val="24"/>
        </w:rPr>
        <w:t>I</w:t>
      </w:r>
      <w:r>
        <w:rPr>
          <w:b w:val="1"/>
          <w:bCs w:val="1"/>
          <w:sz w:val="24"/>
          <w:szCs w:val="24"/>
        </w:rPr>
        <w:t>É</w:t>
      </w:r>
      <w:r>
        <w:rPr>
          <w:b w:val="1"/>
          <w:bCs w:val="1"/>
          <w:sz w:val="24"/>
          <w:szCs w:val="24"/>
        </w:rPr>
        <w:t>R</w:t>
      </w:r>
      <w:r>
        <w:rPr>
          <w:b w:val="1"/>
          <w:bCs w:val="1"/>
          <w:sz w:val="24"/>
          <w:szCs w:val="24"/>
        </w:rPr>
        <w:t>ASE</w:t>
      </w:r>
      <w:r>
        <w:rPr>
          <w:sz w:val="24"/>
          <w:szCs w:val="24"/>
        </w:rPr>
        <w:t xml:space="preserve"> la tenencia precaria del panteón Identificación N° 281 del Cementerio local de Alta Gracia al Sr. Lázaro Miguel Angel, D.N.I. N° 25.822.829, previo pago de la Tasa por Servicios de Administración y Mantenimiento de los Cementerios anual adeudada.</w:t>
      </w:r>
    </w:p>
    <w:p>
      <w:pPr>
        <w:pStyle w:val="P1"/>
        <w:ind w:hanging="425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PRO</w:t>
      </w:r>
      <w:r>
        <w:rPr>
          <w:b w:val="1"/>
          <w:bCs w:val="1"/>
          <w:sz w:val="24"/>
          <w:szCs w:val="24"/>
        </w:rPr>
        <w:t>TO</w:t>
      </w:r>
      <w:r>
        <w:rPr>
          <w:b w:val="1"/>
          <w:bCs w:val="1"/>
          <w:sz w:val="24"/>
          <w:szCs w:val="24"/>
        </w:rPr>
        <w:t>COLÍCESE,</w:t>
      </w:r>
      <w:r>
        <w:rPr>
          <w:sz w:val="24"/>
          <w:szCs w:val="24"/>
        </w:rPr>
        <w:t xml:space="preserve"> 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left="284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LOS DIECIOCHO DIAS DEL MES DE NOVIEMBRE DEL AÑO DOS MIL CUATRO.</w:t>
      </w:r>
    </w:p>
    <w:sectPr>
      <w:type w:val="nextPage"/>
      <w:pgSz w:w="11907" w:h="16840" w:code="0"/>
      <w:pgMar w:left="170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2026-07-09T19:10:32Z</dcterms:created>
  <cp:lastModifiedBy>Federico Parisi</cp:lastModifiedBy>
  <cp:lastPrinted>2004-11-08T21:35:00Z</cp:lastPrinted>
  <dcterms:modified xsi:type="dcterms:W3CDTF">2026-07-09T19:10:32Z</dcterms:modified>
  <cp:revision>2</cp:revision>
  <dc:title>1¾   «        M</dc:title>
</cp:coreProperties>
</file>