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cs="Courier New"/>
          <w:lang/>
        </w:rPr>
      </w:pPr>
    </w:p>
    <w:p>
      <w:pPr>
        <w:jc w:val="both"/>
        <w:rPr>
          <w:rFonts w:ascii="Courier New" w:hAnsi="Courier New" w:cs="Courier New"/>
          <w:lang/>
        </w:rPr>
      </w:pPr>
    </w:p>
    <w:p>
      <w:pPr>
        <w:jc w:val="center"/>
        <w:rPr>
          <w:rFonts w:ascii="Courier New" w:hAnsi="Courier New" w:cs="Courier New"/>
          <w:b w:val="1"/>
          <w:bCs w:val="1"/>
          <w:u w:val="single"/>
          <w:lang/>
        </w:rPr>
      </w:pPr>
      <w:r>
        <w:rPr>
          <w:rFonts w:ascii="Courier New" w:hAnsi="Courier New" w:cs="Courier New"/>
          <w:b w:val="1"/>
          <w:bCs w:val="1"/>
          <w:u w:val="single"/>
          <w:lang/>
        </w:rPr>
        <w:t>ORDENANZA N</w:t>
      </w:r>
      <w:r>
        <w:rPr>
          <w:rFonts w:ascii="Courier New" w:hAnsi="Courier New" w:cs="Courier New"/>
          <w:b w:val="1"/>
          <w:bCs w:val="1"/>
          <w:u w:val="single"/>
          <w:lang/>
        </w:rPr>
        <w:t>° 7129</w:t>
      </w:r>
    </w:p>
    <w:p>
      <w:pPr>
        <w:jc w:val="center"/>
        <w:rPr>
          <w:rFonts w:ascii="Courier New" w:hAnsi="Courier New" w:cs="Courier New"/>
          <w:b w:val="1"/>
          <w:bCs w:val="1"/>
          <w:u w:val="single"/>
          <w:lang/>
        </w:rPr>
      </w:pPr>
    </w:p>
    <w:p>
      <w:pPr>
        <w:jc w:val="both"/>
        <w:rPr>
          <w:rFonts w:ascii="Courier New" w:hAnsi="Courier New" w:cs="Courier New"/>
          <w:lang/>
        </w:rPr>
      </w:pPr>
    </w:p>
    <w:p>
      <w:pPr>
        <w:ind w:hanging="709" w:left="709"/>
        <w:jc w:val="both"/>
        <w:rPr>
          <w:rFonts w:ascii="Courier New" w:hAnsi="Courier New" w:cs="Courier New"/>
        </w:rPr>
      </w:pPr>
      <w:r>
        <w:rPr>
          <w:rFonts w:ascii="Courier New" w:hAnsi="Courier New" w:cs="Courier New"/>
        </w:rPr>
        <w:t>Visto: Los Bienes Culturales – Monumentos, Conjuntos y Lugares -; y</w:t>
      </w:r>
    </w:p>
    <w:p>
      <w:pPr>
        <w:ind w:hanging="709" w:left="709"/>
        <w:jc w:val="both"/>
        <w:rPr>
          <w:rFonts w:ascii="Courier New" w:hAnsi="Courier New" w:cs="Courier New"/>
        </w:rPr>
      </w:pPr>
    </w:p>
    <w:p>
      <w:pPr>
        <w:jc w:val="both"/>
        <w:rPr>
          <w:rFonts w:ascii="Courier New" w:hAnsi="Courier New" w:cs="Courier New"/>
        </w:rPr>
      </w:pPr>
    </w:p>
    <w:p>
      <w:pPr>
        <w:jc w:val="center"/>
        <w:rPr>
          <w:rFonts w:ascii="Courier New" w:hAnsi="Courier New" w:cs="Courier New"/>
          <w:b w:val="1"/>
          <w:bCs w:val="1"/>
        </w:rPr>
      </w:pPr>
      <w:r>
        <w:rPr>
          <w:rFonts w:ascii="Courier New" w:hAnsi="Courier New" w:cs="Courier New"/>
          <w:b w:val="1"/>
          <w:bCs w:val="1"/>
        </w:rPr>
        <w:t>C</w:t>
      </w:r>
      <w:r>
        <w:rPr>
          <w:rFonts w:ascii="Courier New" w:hAnsi="Courier New" w:cs="Courier New"/>
          <w:b w:val="1"/>
          <w:bCs w:val="1"/>
        </w:rPr>
        <w:t xml:space="preserve"> </w:t>
      </w:r>
      <w:r>
        <w:rPr>
          <w:rFonts w:ascii="Courier New" w:hAnsi="Courier New" w:cs="Courier New"/>
          <w:b w:val="1"/>
          <w:bCs w:val="1"/>
        </w:rPr>
        <w:t>O</w:t>
      </w:r>
      <w:r>
        <w:rPr>
          <w:rFonts w:ascii="Courier New" w:hAnsi="Courier New" w:cs="Courier New"/>
          <w:b w:val="1"/>
          <w:bCs w:val="1"/>
        </w:rPr>
        <w:t xml:space="preserve"> </w:t>
      </w:r>
      <w:r>
        <w:rPr>
          <w:rFonts w:ascii="Courier New" w:hAnsi="Courier New" w:cs="Courier New"/>
          <w:b w:val="1"/>
          <w:bCs w:val="1"/>
        </w:rPr>
        <w:t>N</w:t>
      </w:r>
      <w:r>
        <w:rPr>
          <w:rFonts w:ascii="Courier New" w:hAnsi="Courier New" w:cs="Courier New"/>
          <w:b w:val="1"/>
          <w:bCs w:val="1"/>
        </w:rPr>
        <w:t xml:space="preserve"> </w:t>
      </w:r>
      <w:r>
        <w:rPr>
          <w:rFonts w:ascii="Courier New" w:hAnsi="Courier New" w:cs="Courier New"/>
          <w:b w:val="1"/>
          <w:bCs w:val="1"/>
        </w:rPr>
        <w:t>S</w:t>
      </w:r>
      <w:r>
        <w:rPr>
          <w:rFonts w:ascii="Courier New" w:hAnsi="Courier New" w:cs="Courier New"/>
          <w:b w:val="1"/>
          <w:bCs w:val="1"/>
        </w:rPr>
        <w:t xml:space="preserve"> </w:t>
      </w:r>
      <w:r>
        <w:rPr>
          <w:rFonts w:ascii="Courier New" w:hAnsi="Courier New" w:cs="Courier New"/>
          <w:b w:val="1"/>
          <w:bCs w:val="1"/>
        </w:rPr>
        <w:t>I</w:t>
      </w:r>
      <w:r>
        <w:rPr>
          <w:rFonts w:ascii="Courier New" w:hAnsi="Courier New" w:cs="Courier New"/>
          <w:b w:val="1"/>
          <w:bCs w:val="1"/>
        </w:rPr>
        <w:t xml:space="preserve"> </w:t>
      </w:r>
      <w:r>
        <w:rPr>
          <w:rFonts w:ascii="Courier New" w:hAnsi="Courier New" w:cs="Courier New"/>
          <w:b w:val="1"/>
          <w:bCs w:val="1"/>
        </w:rPr>
        <w:t>D</w:t>
      </w:r>
      <w:r>
        <w:rPr>
          <w:rFonts w:ascii="Courier New" w:hAnsi="Courier New" w:cs="Courier New"/>
          <w:b w:val="1"/>
          <w:bCs w:val="1"/>
        </w:rPr>
        <w:t xml:space="preserve"> </w:t>
      </w:r>
      <w:r>
        <w:rPr>
          <w:rFonts w:ascii="Courier New" w:hAnsi="Courier New" w:cs="Courier New"/>
          <w:b w:val="1"/>
          <w:bCs w:val="1"/>
        </w:rPr>
        <w:t>E</w:t>
      </w:r>
      <w:r>
        <w:rPr>
          <w:rFonts w:ascii="Courier New" w:hAnsi="Courier New" w:cs="Courier New"/>
          <w:b w:val="1"/>
          <w:bCs w:val="1"/>
        </w:rPr>
        <w:t xml:space="preserve"> </w:t>
      </w:r>
      <w:r>
        <w:rPr>
          <w:rFonts w:ascii="Courier New" w:hAnsi="Courier New" w:cs="Courier New"/>
          <w:b w:val="1"/>
          <w:bCs w:val="1"/>
        </w:rPr>
        <w:t>R</w:t>
      </w:r>
      <w:r>
        <w:rPr>
          <w:rFonts w:ascii="Courier New" w:hAnsi="Courier New" w:cs="Courier New"/>
          <w:b w:val="1"/>
          <w:bCs w:val="1"/>
        </w:rPr>
        <w:t xml:space="preserve"> </w:t>
      </w:r>
      <w:r>
        <w:rPr>
          <w:rFonts w:ascii="Courier New" w:hAnsi="Courier New" w:cs="Courier New"/>
          <w:b w:val="1"/>
          <w:bCs w:val="1"/>
        </w:rPr>
        <w:t>A</w:t>
      </w:r>
      <w:r>
        <w:rPr>
          <w:rFonts w:ascii="Courier New" w:hAnsi="Courier New" w:cs="Courier New"/>
          <w:b w:val="1"/>
          <w:bCs w:val="1"/>
        </w:rPr>
        <w:t xml:space="preserve"> </w:t>
      </w:r>
      <w:r>
        <w:rPr>
          <w:rFonts w:ascii="Courier New" w:hAnsi="Courier New" w:cs="Courier New"/>
          <w:b w:val="1"/>
          <w:bCs w:val="1"/>
        </w:rPr>
        <w:t>N</w:t>
      </w:r>
      <w:r>
        <w:rPr>
          <w:rFonts w:ascii="Courier New" w:hAnsi="Courier New" w:cs="Courier New"/>
          <w:b w:val="1"/>
          <w:bCs w:val="1"/>
        </w:rPr>
        <w:t xml:space="preserve"> </w:t>
      </w:r>
      <w:r>
        <w:rPr>
          <w:rFonts w:ascii="Courier New" w:hAnsi="Courier New" w:cs="Courier New"/>
          <w:b w:val="1"/>
          <w:bCs w:val="1"/>
        </w:rPr>
        <w:t>D</w:t>
      </w:r>
      <w:r>
        <w:rPr>
          <w:rFonts w:ascii="Courier New" w:hAnsi="Courier New" w:cs="Courier New"/>
          <w:b w:val="1"/>
          <w:bCs w:val="1"/>
        </w:rPr>
        <w:t xml:space="preserve"> </w:t>
      </w:r>
      <w:r>
        <w:rPr>
          <w:rFonts w:ascii="Courier New" w:hAnsi="Courier New" w:cs="Courier New"/>
          <w:b w:val="1"/>
          <w:bCs w:val="1"/>
        </w:rPr>
        <w:t>O</w:t>
      </w:r>
    </w:p>
    <w:p>
      <w:pPr>
        <w:jc w:val="center"/>
        <w:rPr>
          <w:rFonts w:ascii="Courier New" w:hAnsi="Courier New" w:cs="Courier New"/>
          <w:b w:val="1"/>
          <w:bCs w:val="1"/>
        </w:rPr>
      </w:pP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es necesario proteger de acciones perjudiciales producto del proceso de urbanización los mencionados bienes;</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los mismos se encuentran localizados en los barrios históricos y áreas de interés especial de la Ciudad de Alta Gracia;</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la Carta Orgánica Municipal establece el marco legal adecuado mediante sus políticas permanentes;</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la Ordenanza de Patrimonio Nº 4.368 define la protección y clasificación de los Bienes Culturales y Naturales integrantes de la ciudad de Alta Gracia;</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la Carta de Recomendación de Granada, del año 1985, sobre la Salvaguardia del Patrimonio Arquitectónico, recomienda la subdivisión en áreas para la protección de Bienes Culturales y Naturales;</w:t>
      </w:r>
    </w:p>
    <w:p>
      <w:pPr>
        <w:jc w:val="both"/>
        <w:rPr>
          <w:rFonts w:ascii="Courier New" w:hAnsi="Courier New" w:cs="Courier New"/>
        </w:rPr>
      </w:pPr>
    </w:p>
    <w:p>
      <w:pPr>
        <w:ind w:left="709"/>
        <w:jc w:val="both"/>
        <w:rPr>
          <w:rFonts w:ascii="Courier New" w:hAnsi="Courier New" w:cs="Courier New"/>
          <w:lang w:val="es-MX"/>
        </w:rPr>
      </w:pPr>
      <w:r>
        <w:rPr>
          <w:rFonts w:ascii="Courier New" w:hAnsi="Courier New" w:cs="Courier New"/>
          <w:lang w:val="es-MX"/>
        </w:rPr>
        <w:t>Que la Convención para la Protección del Patrimonio Mundial Cultural y Natural redactada por la UNESCO en 1972, estableció en uno de sus considerandos que “el deterioro o la desaparición de un bien del Patrimonio Cultural y Natural constituye un empobrecimiento nefasto del Patrimonio de todos los pueblos del mundo”;</w:t>
      </w:r>
    </w:p>
    <w:p>
      <w:pPr>
        <w:jc w:val="both"/>
        <w:rPr>
          <w:rFonts w:ascii="Courier New" w:hAnsi="Courier New" w:cs="Courier New"/>
          <w:lang w:val="es-MX"/>
        </w:rPr>
      </w:pPr>
    </w:p>
    <w:p>
      <w:pPr>
        <w:ind w:left="709"/>
        <w:jc w:val="both"/>
        <w:rPr>
          <w:rFonts w:ascii="Courier New" w:hAnsi="Courier New" w:cs="Courier New"/>
          <w:lang w:val="es-MX"/>
        </w:rPr>
      </w:pPr>
      <w:r>
        <w:rPr>
          <w:rFonts w:ascii="Courier New" w:hAnsi="Courier New" w:cs="Courier New"/>
          <w:lang w:val="es-MX"/>
        </w:rPr>
        <w:t>Que una de las amenazas que considera el Comité del Patrimonio Mundial sobre los Bienes declarados es el “rápido desarrollo urbano y turístico y la destrucción debido a cambios de utilización o de propiedad de la tierra”;</w:t>
      </w:r>
    </w:p>
    <w:p>
      <w:pPr>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r>
        <w:rPr>
          <w:rFonts w:ascii="Courier New" w:hAnsi="Courier New" w:cs="Courier New"/>
        </w:rPr>
        <w:t>...///2.-</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es necesario definir, normar y reglamentar un área de amortiguación inmediata al Área de Protección de Primer Orden, donde se ubican Bienes Culturales Jesuíticos, declarados por la UNESCO Patrimonio Cultural de la Humanidad;</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todas las actuaciones en dicha Área de Protección de Segundo Orden deberán estar contenidas dentro de un Manual de Procedimientos que facilite la comprensión del modo y forma de actuación en la misma;</w:t>
      </w:r>
    </w:p>
    <w:p>
      <w:pPr>
        <w:jc w:val="both"/>
        <w:rPr>
          <w:rFonts w:ascii="Courier New" w:hAnsi="Courier New" w:cs="Courier New"/>
        </w:rPr>
      </w:pPr>
      <w:r>
        <w:rPr>
          <w:rFonts w:ascii="Courier New" w:hAnsi="Courier New" w:cs="Courier New"/>
        </w:rPr>
        <w:t xml:space="preserve"> </w:t>
      </w:r>
    </w:p>
    <w:p>
      <w:pPr>
        <w:ind w:left="709"/>
        <w:jc w:val="both"/>
        <w:rPr>
          <w:rFonts w:ascii="Courier New" w:hAnsi="Courier New" w:cs="Courier New"/>
        </w:rPr>
      </w:pPr>
      <w:r>
        <w:rPr>
          <w:rFonts w:ascii="Courier New" w:hAnsi="Courier New" w:cs="Courier New"/>
        </w:rPr>
        <w:t>Que la redacción de dicha norma exige un estudio particular que demanda tiempo, mientras se suceden intervenciones en dicha área que atentan contra la conservación adecuada de los bienes culturales, ocasionando en algunos casos pérdidas irreversibles;</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Que existe un Catálogo de Bienes Culturales que incluye a los bienes ubicados en los barrios tradicionales y áreas especiales del Municipio;</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 xml:space="preserve">Que es necesario contar con una norma urbana que ampare preventivamente estos tejidos urbanos de valor cultural para la comunidad de Alta Gracia, hasta tanto se redacte el Manual de Procedimientos para las Actuaciones en el Área de Protección de Segundo Orden; </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Que analizado el Proyecto de Ordenanza por la Comisión de Obras Públicas y por el Concejo en Comisión, se emite despacho favorable con modificaciones aprobado en Sesión Ordinaria de fecha 25 de noviembre de 2004.</w:t>
      </w:r>
    </w:p>
    <w:p>
      <w:pPr>
        <w:ind w:left="709"/>
        <w:jc w:val="both"/>
        <w:rPr>
          <w:rFonts w:ascii="Courier New" w:hAnsi="Courier New" w:cs="Courier New"/>
        </w:rPr>
      </w:pPr>
    </w:p>
    <w:p>
      <w:pPr>
        <w:ind w:left="709"/>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center"/>
        <w:rPr>
          <w:rFonts w:ascii="Courier New" w:hAnsi="Courier New" w:cs="Courier New"/>
          <w:b w:val="1"/>
          <w:bCs w:val="1"/>
        </w:rPr>
      </w:pPr>
      <w:r>
        <w:rPr>
          <w:rFonts w:ascii="Courier New" w:hAnsi="Courier New" w:cs="Courier New"/>
          <w:b w:val="1"/>
          <w:bCs w:val="1"/>
        </w:rPr>
        <w:t>EL HONORABLE CONCEJO DELIBERANTE DE LA CIUDAD DE</w:t>
      </w:r>
    </w:p>
    <w:p>
      <w:pPr>
        <w:jc w:val="center"/>
        <w:rPr>
          <w:rFonts w:ascii="Courier New" w:hAnsi="Courier New" w:cs="Courier New"/>
          <w:b w:val="1"/>
          <w:bCs w:val="1"/>
        </w:rPr>
      </w:pPr>
    </w:p>
    <w:p>
      <w:pPr>
        <w:jc w:val="center"/>
        <w:rPr>
          <w:rFonts w:ascii="Courier New" w:hAnsi="Courier New" w:cs="Courier New"/>
          <w:b w:val="1"/>
          <w:bCs w:val="1"/>
        </w:rPr>
      </w:pPr>
    </w:p>
    <w:p>
      <w:pPr>
        <w:jc w:val="center"/>
        <w:rPr>
          <w:rFonts w:ascii="Courier New" w:hAnsi="Courier New" w:cs="Courier New"/>
          <w:b w:val="1"/>
          <w:bCs w:val="1"/>
        </w:rPr>
      </w:pPr>
    </w:p>
    <w:p>
      <w:pPr>
        <w:jc w:val="center"/>
        <w:rPr>
          <w:rFonts w:ascii="Courier New" w:hAnsi="Courier New" w:cs="Courier New"/>
          <w:b w:val="1"/>
          <w:bCs w:val="1"/>
        </w:rPr>
      </w:pPr>
      <w:r>
        <w:rPr>
          <w:rFonts w:ascii="Courier New" w:hAnsi="Courier New" w:cs="Courier New"/>
          <w:b w:val="1"/>
          <w:bCs w:val="1"/>
        </w:rPr>
        <w:t>ALTA GRACIA SANCIONA CON FUERZA DE ORDENANZA</w:t>
      </w:r>
    </w:p>
    <w:p>
      <w:pPr>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r>
        <w:rPr>
          <w:rFonts w:ascii="Courier New" w:hAnsi="Courier New" w:cs="Courier New"/>
        </w:rPr>
        <w:t>...///3.-</w:t>
      </w: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CIRCUNSCRÍBASE</w:t>
      </w:r>
      <w:r>
        <w:rPr>
          <w:rFonts w:ascii="Courier New" w:hAnsi="Courier New" w:cs="Courier New"/>
        </w:rPr>
        <w:t xml:space="preserve"> como </w:t>
      </w:r>
      <w:r>
        <w:rPr>
          <w:rFonts w:ascii="Courier New" w:hAnsi="Courier New" w:cs="Courier New"/>
          <w:u w:val="single"/>
        </w:rPr>
        <w:t>Área de Protección de Segundo Orden</w:t>
      </w:r>
      <w:r>
        <w:rPr>
          <w:rFonts w:ascii="Courier New" w:hAnsi="Courier New" w:cs="Courier New"/>
        </w:rPr>
        <w:t xml:space="preserve"> a la poligonal que responde a la siguiente delimitación: inmediatamente al Área de Protección de Primer Orden, la que se inicia en el punto A, ubicado en el extremo Norte del límite de la ampliación del Ejido y su intersección con el Camino del Valle de la Buena Esperanza, y por éste hacia el Este hasta la intersección con el límite Sur Este de la parcela  Nº 5221 (según hoja de registro N° 2133), donde se encuentra el punto B, desde allí con rumbo Norte por el límite Oeste de la parcela Nº 5221, continuando por el límite Oeste del loteo Villa Camiares, hasta llegar al límite Noroeste del mismo loteo donde se encuentra el punto C, y desde allí con rumbo Este por el límite Norte de Villa Camiares hasta la intersección con la Ruta C-45, donde se ubica el  punto D, desde el cual y por la traza de la ruta C-45 continúa hasta la intersección con la calle Cjal. Rossi, donde se encuentra el punto E, continuando por la calle Cjal. Rossi, con rumbo Sur Este hasta las manzanas en donde se encuentran la antigua Molienda Rossi, y el Complejo Deportivo Norte, desde donde y por la Avda. H.  Irigoyen se continua hacia el Este, hasta el extremo Noroeste del predio del F.F.C.C. se llega al punto F, desde donde y abarcando el cuadro del Ferrocarril hacia el Sur se ubica en el punto G, desde el cual y siguiendo el límite Este de la traza original del Testamento de M. Solares, hacia el Sur-Oeste en el vértice de la traza original y coincidente con la calle Cervantes de Villa Oviedo se encuentra el punto H. Prosiguiendo por la Calle Cervantes hacia el Oeste, y en el encuentro con el Camino a La Bolsa, se encuentra el punto I, y desde allí con rumbo Sur hasta la  calle Cruz Oviedo donde se encuentra el punto J, y continuando por el trazado de calle Cruz Oviedo   hacia el Noreste hasta la intersección con la calle Catamarca donde se sitúa el punto K, continuando por la calle Catamarca con rumbo Norte, hasta la intersección con el Camino a La Paisanita, donde se define  el  punto L, continuando  por  éste  hacia  el </w:t>
      </w:r>
    </w:p>
    <w:p>
      <w:pPr>
        <w:ind w:hanging="709" w:left="709"/>
        <w:jc w:val="right"/>
        <w:rPr>
          <w:rFonts w:ascii="Courier New" w:hAnsi="Courier New" w:cs="Courier New"/>
        </w:rPr>
      </w:pPr>
      <w:r>
        <w:rPr>
          <w:rFonts w:ascii="Courier New" w:hAnsi="Courier New" w:cs="Courier New"/>
        </w:rPr>
        <w:t>...///</w:t>
      </w: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rPr>
        <w:t>...///4.-</w:t>
      </w:r>
    </w:p>
    <w:p>
      <w:pPr>
        <w:ind w:hanging="709"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 xml:space="preserve">Oeste, incluyendo las canteras del Ferrocarril, hasta coincidir en el límite del Ejido Municipal, donde se ubica el punto M. Se continúa a partir de este punto por el límite Norte de la Fracción E, hasta el límite del ejido al Suroeste donde se ubica el punto N, y luego hacia el Norte, hasta encontrar el punto Ñ, en la intersección Noreste de la fracción 4-4-1, con la calle Santa Cruz, continuando hacia el Noroeste, hasta el camino del Tiro Federal, donde se ubica el punto O, y desde allí en dirección con rumbo Oeste hasta el límite de la Fracción 6 donde se ubica el punto P, prosiguiendo con rumbo Norte, atravesando el camino  al Primer Paredón, y continuando por el límite Oeste del Ejido por la fracción 1-1-362, hasta donde se sitúa el punto A, cerrando la poligonal. </w:t>
      </w: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w:t>
      </w:r>
      <w:r>
        <w:rPr>
          <w:rFonts w:ascii="Courier New" w:hAnsi="Courier New" w:cs="Courier New"/>
          <w:b w:val="1"/>
          <w:bCs w:val="1"/>
          <w:u w:val="single"/>
        </w:rPr>
        <w:t>2</w:t>
      </w:r>
      <w:r>
        <w:rPr>
          <w:rFonts w:ascii="Courier New" w:hAnsi="Courier New" w:cs="Courier New"/>
          <w:b w:val="1"/>
          <w:bCs w:val="1"/>
        </w:rPr>
        <w:t>: ESTABLÈCESE</w:t>
      </w:r>
      <w:r>
        <w:rPr>
          <w:rFonts w:ascii="Courier New" w:hAnsi="Courier New" w:cs="Courier New"/>
        </w:rPr>
        <w:t xml:space="preserve"> la revisión de las identificaciones de los bienes culturales ubicados en el Área de Protección de Segundo Orden de acuerdo a lo establecido en la Ordenanza Nº 4.368 para ser incluidos en el Catálogo de Bienes Culturales de la Municipalidad de Alta Gracia.</w:t>
      </w: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w:t>
      </w:r>
      <w:r>
        <w:rPr>
          <w:rFonts w:ascii="Courier New" w:hAnsi="Courier New" w:cs="Courier New"/>
          <w:b w:val="1"/>
          <w:bCs w:val="1"/>
          <w:u w:val="single"/>
        </w:rPr>
        <w:t>3</w:t>
      </w:r>
      <w:r>
        <w:rPr>
          <w:rFonts w:ascii="Courier New" w:hAnsi="Courier New" w:cs="Courier New"/>
          <w:b w:val="1"/>
          <w:bCs w:val="1"/>
        </w:rPr>
        <w:t xml:space="preserve">: </w:t>
      </w:r>
      <w:r>
        <w:rPr>
          <w:rFonts w:ascii="Courier New" w:hAnsi="Courier New" w:cs="Courier New"/>
          <w:b w:val="1"/>
          <w:bCs w:val="1"/>
        </w:rPr>
        <w:t>RESPÉTENSE</w:t>
      </w:r>
      <w:r>
        <w:rPr>
          <w:rFonts w:ascii="Courier New" w:hAnsi="Courier New" w:cs="Courier New"/>
        </w:rPr>
        <w:t xml:space="preserve"> en las intervenciones en el Área de Protección de Segundo Orden, tanto públicas como privadas, </w:t>
      </w:r>
      <w:r>
        <w:rPr>
          <w:rFonts w:ascii="Courier New" w:hAnsi="Courier New" w:cs="Courier New"/>
          <w:u w:val="single"/>
        </w:rPr>
        <w:t>los patrones urbanos originales de cada barrio o área especial</w:t>
      </w:r>
      <w:r>
        <w:rPr>
          <w:rFonts w:ascii="Courier New" w:hAnsi="Courier New" w:cs="Courier New"/>
        </w:rPr>
        <w:t>,(o tipologías barriales) tanto en la ocupación y subdivisión del suelo, como en las alturas máximas, perfiles, retiros, y usos dominantes, complementarios, restringidos y condicionados.</w:t>
      </w:r>
    </w:p>
    <w:p>
      <w:pPr>
        <w:ind w:left="709"/>
        <w:jc w:val="both"/>
        <w:rPr>
          <w:rFonts w:ascii="Courier New" w:hAnsi="Courier New" w:cs="Courier New"/>
        </w:rPr>
      </w:pPr>
      <w:r>
        <w:rPr>
          <w:rFonts w:ascii="Courier New" w:hAnsi="Courier New" w:cs="Courier New"/>
          <w:lang/>
        </w:rPr>
        <w:t xml:space="preserve">El respeto y la protección implicarán el sometimiento de los permisos de edificación, modificaciones o ampliaciones a </w:t>
      </w:r>
      <w:r>
        <w:rPr>
          <w:rFonts w:ascii="Courier New" w:hAnsi="Courier New" w:cs="Courier New"/>
          <w:u w:val="single"/>
          <w:lang/>
        </w:rPr>
        <w:t>Informes de Adecuación al Área de Protección de Segundo Orden</w:t>
      </w:r>
      <w:r>
        <w:rPr>
          <w:rFonts w:ascii="Courier New" w:hAnsi="Courier New" w:cs="Courier New"/>
          <w:lang/>
        </w:rPr>
        <w:t xml:space="preserve"> elaborados por el Área de Planeamiento y Patrimonio Cultural, con el objeto de establecer la adecuación del proyecto y de lo dispuesto para esta Área por el Código de Edificación vigente según Ordenanza N° 1294/82, a los valores arquitectónicos-urbanos del barrio o área especial. Este trámite se efectuará hasta la redacción del </w:t>
      </w:r>
      <w:r>
        <w:rPr>
          <w:rFonts w:ascii="Courier New" w:hAnsi="Courier New" w:cs="Courier New"/>
        </w:rPr>
        <w:t xml:space="preserve">Manual de Procedimientos  para las  Actuaciones  en el </w:t>
      </w:r>
    </w:p>
    <w:p>
      <w:pPr>
        <w:ind w:left="709"/>
        <w:jc w:val="right"/>
        <w:rPr>
          <w:rFonts w:ascii="Courier New" w:hAnsi="Courier New" w:cs="Courier New"/>
        </w:rPr>
      </w:pPr>
      <w:r>
        <w:rPr>
          <w:rFonts w:ascii="Courier New" w:hAnsi="Courier New" w:cs="Courier New"/>
        </w:rPr>
        <w:t>...///</w:t>
      </w:r>
    </w:p>
    <w:p>
      <w:pPr>
        <w:ind w:left="709"/>
        <w:jc w:val="both"/>
        <w:rPr>
          <w:rFonts w:ascii="Courier New" w:hAnsi="Courier New" w:cs="Courier New"/>
        </w:rPr>
      </w:pPr>
    </w:p>
    <w:p>
      <w:pPr>
        <w:ind w:left="709"/>
        <w:jc w:val="both"/>
        <w:rPr>
          <w:rFonts w:ascii="Courier New" w:hAnsi="Courier New" w:cs="Courier New"/>
        </w:rPr>
      </w:pPr>
    </w:p>
    <w:p>
      <w:pPr>
        <w:ind w:left="709"/>
        <w:jc w:val="both"/>
        <w:rPr>
          <w:rFonts w:ascii="Courier New" w:hAnsi="Courier New" w:cs="Courier New"/>
        </w:rPr>
      </w:pPr>
    </w:p>
    <w:p>
      <w:pPr>
        <w:ind w:hanging="567" w:left="709"/>
        <w:jc w:val="both"/>
        <w:rPr>
          <w:rFonts w:ascii="Courier New" w:hAnsi="Courier New" w:cs="Courier New"/>
        </w:rPr>
      </w:pPr>
    </w:p>
    <w:p>
      <w:pPr>
        <w:ind w:hanging="567" w:left="709"/>
        <w:jc w:val="both"/>
        <w:rPr>
          <w:rFonts w:ascii="Courier New" w:hAnsi="Courier New" w:cs="Courier New"/>
        </w:rPr>
      </w:pPr>
    </w:p>
    <w:p>
      <w:pPr>
        <w:ind w:hanging="567" w:left="709"/>
        <w:jc w:val="both"/>
        <w:rPr>
          <w:rFonts w:ascii="Courier New" w:hAnsi="Courier New" w:cs="Courier New"/>
        </w:rPr>
      </w:pPr>
    </w:p>
    <w:p>
      <w:pPr>
        <w:ind w:hanging="567" w:left="709"/>
        <w:jc w:val="both"/>
        <w:rPr>
          <w:rFonts w:ascii="Courier New" w:hAnsi="Courier New" w:cs="Courier New"/>
        </w:rPr>
      </w:pPr>
      <w:r>
        <w:rPr>
          <w:rFonts w:ascii="Courier New" w:hAnsi="Courier New" w:cs="Courier New"/>
        </w:rPr>
        <w:t>...///5.-</w:t>
      </w:r>
    </w:p>
    <w:p>
      <w:pPr>
        <w:ind w:left="709"/>
        <w:jc w:val="both"/>
        <w:rPr>
          <w:rFonts w:ascii="Courier New" w:hAnsi="Courier New" w:cs="Courier New"/>
        </w:rPr>
      </w:pPr>
    </w:p>
    <w:p>
      <w:pPr>
        <w:ind w:left="709"/>
        <w:jc w:val="both"/>
        <w:rPr>
          <w:rFonts w:ascii="Courier New" w:hAnsi="Courier New" w:cs="Courier New"/>
          <w:lang/>
        </w:rPr>
      </w:pPr>
      <w:r>
        <w:rPr>
          <w:rFonts w:ascii="Courier New" w:hAnsi="Courier New" w:cs="Courier New"/>
        </w:rPr>
        <w:t>Área de Protección de Segundo Orden</w:t>
      </w:r>
      <w:r>
        <w:rPr>
          <w:rFonts w:ascii="Courier New" w:hAnsi="Courier New" w:cs="Courier New"/>
          <w:lang/>
        </w:rPr>
        <w:t>, que incluye parte o la totalidad de las Zonas Comercial 1, Residencial 1, Residencial 2, 1ª y 2ª Sección, Residencial 3, Zona Residencial Mixta, Zona Verde Recreacional, Zona Verde Turística Histórica y Zona Industrial 2, delimitadas por el Código de Edificación en su Libro V.</w:t>
      </w:r>
    </w:p>
    <w:p>
      <w:pPr>
        <w:jc w:val="both"/>
        <w:rPr>
          <w:rFonts w:ascii="Courier New" w:hAnsi="Courier New" w:cs="Courier New"/>
          <w:lang/>
        </w:rPr>
      </w:pPr>
    </w:p>
    <w:p>
      <w:pPr>
        <w:ind w:hanging="709" w:left="709"/>
        <w:jc w:val="both"/>
        <w:rPr>
          <w:rFonts w:ascii="Courier New" w:hAnsi="Courier New" w:cs="Courier New"/>
        </w:rPr>
      </w:pPr>
      <w:r>
        <w:rPr>
          <w:rFonts w:ascii="Courier New" w:hAnsi="Courier New" w:cs="Courier New"/>
          <w:b w:val="1"/>
          <w:bCs w:val="1"/>
          <w:u w:val="single"/>
        </w:rPr>
        <w:t>Art.</w:t>
      </w:r>
      <w:r>
        <w:rPr>
          <w:rFonts w:ascii="Courier New" w:hAnsi="Courier New" w:cs="Courier New"/>
          <w:b w:val="1"/>
          <w:bCs w:val="1"/>
          <w:u w:val="single"/>
        </w:rPr>
        <w:t>4</w:t>
      </w:r>
      <w:r>
        <w:rPr>
          <w:rFonts w:ascii="Courier New" w:hAnsi="Courier New" w:cs="Courier New"/>
          <w:b w:val="1"/>
          <w:bCs w:val="1"/>
        </w:rPr>
        <w:t>: CUMPLIMÉNTESE</w:t>
      </w:r>
      <w:r>
        <w:rPr>
          <w:rFonts w:ascii="Courier New" w:hAnsi="Courier New" w:cs="Courier New"/>
        </w:rPr>
        <w:t xml:space="preserve"> en toda actuación en el Área definida en el Art.1º de la presente Ordenanza con los trámites establecidos en los Arts. 13 y 15 del Código de Edificación, anexando a la Memoria Descriptiva los criterios de diseño en relación con su entono urbano y a las construcciones existentes en el predio, si las hubiera y un relevamiento fotográfico del sitio y su entorno. Para su visación previa y/o aprobación de Planos Generales dispuesta en el Art. 17 y 22 del mismo Código, se deberá dar intervención al Área de Planeamiento y Patrimonio, la que deberá anexar al expediente iniciado el citado Informe de Adecuación al Área de Protección de Segundo Orden, observando, autorizando o denegando la solicitud, debidamente fundado en la legislación local, nacional e internacional vigente al respecto.</w:t>
      </w:r>
    </w:p>
    <w:p>
      <w:pPr>
        <w:jc w:val="both"/>
        <w:rPr>
          <w:rFonts w:ascii="Courier New" w:hAnsi="Courier New" w:cs="Courier New"/>
          <w:lang/>
        </w:rPr>
      </w:pPr>
    </w:p>
    <w:p>
      <w:pPr>
        <w:ind w:hanging="709" w:left="709"/>
        <w:jc w:val="both"/>
        <w:rPr>
          <w:rFonts w:ascii="Courier New" w:hAnsi="Courier New" w:cs="Courier New"/>
        </w:rPr>
      </w:pPr>
      <w:r>
        <w:rPr>
          <w:rFonts w:ascii="Courier New" w:hAnsi="Courier New" w:cs="Courier New"/>
          <w:b w:val="1"/>
          <w:bCs w:val="1"/>
          <w:u w:val="single"/>
        </w:rPr>
        <w:t>Art.</w:t>
      </w:r>
      <w:r>
        <w:rPr>
          <w:rFonts w:ascii="Courier New" w:hAnsi="Courier New" w:cs="Courier New"/>
          <w:b w:val="1"/>
          <w:bCs w:val="1"/>
          <w:u w:val="single"/>
        </w:rPr>
        <w:t>5</w:t>
      </w:r>
      <w:r>
        <w:rPr>
          <w:rFonts w:ascii="Courier New" w:hAnsi="Courier New" w:cs="Courier New"/>
          <w:b w:val="1"/>
          <w:bCs w:val="1"/>
        </w:rPr>
        <w:t>: CONTRÓLENSE</w:t>
      </w:r>
      <w:r>
        <w:rPr>
          <w:rFonts w:ascii="Courier New" w:hAnsi="Courier New" w:cs="Courier New"/>
        </w:rPr>
        <w:t xml:space="preserve"> las demoliciones y/o excavaciones en el Área de Protección de Segundo Orden, de acuerdo a lo establecido en el Art. 131º del Código de Edificación.</w:t>
      </w: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Art.6</w:t>
      </w:r>
      <w:r>
        <w:rPr>
          <w:rFonts w:ascii="Courier New" w:hAnsi="Courier New" w:cs="Courier New"/>
          <w:b w:val="1"/>
          <w:bCs w:val="1"/>
        </w:rPr>
        <w:t>: D</w:t>
      </w:r>
      <w:r>
        <w:rPr>
          <w:rFonts w:ascii="Courier New" w:hAnsi="Courier New" w:cs="Courier New"/>
          <w:b w:val="1"/>
          <w:bCs w:val="1"/>
        </w:rPr>
        <w:t>É</w:t>
      </w:r>
      <w:r>
        <w:rPr>
          <w:rFonts w:ascii="Courier New" w:hAnsi="Courier New" w:cs="Courier New"/>
          <w:b w:val="1"/>
          <w:bCs w:val="1"/>
        </w:rPr>
        <w:t>JASE</w:t>
      </w:r>
      <w:r>
        <w:rPr>
          <w:rFonts w:ascii="Courier New" w:hAnsi="Courier New" w:cs="Courier New"/>
        </w:rPr>
        <w:t xml:space="preserve"> provisionalmente sin efecto, por vía de la excepción y exclusivamente para el Área de Protección de Segundo Orden, lo indicado en los Arts. 132, 138, 139, 140 y 141, siendo necesario para autorizar una demolición o declaración del estado de ruina de un edificio – en todo caso y sin excepción –, un Informe Técnico del Área de Planeamiento y Patrimonio Cultural.</w:t>
      </w:r>
    </w:p>
    <w:p>
      <w:pPr>
        <w:ind w:hanging="709" w:left="709"/>
        <w:jc w:val="both"/>
        <w:rPr>
          <w:rFonts w:ascii="Courier New" w:hAnsi="Courier New" w:cs="Courier New"/>
          <w:b w:val="1"/>
          <w:bCs w:val="1"/>
          <w:u w:val="single"/>
        </w:rPr>
      </w:pPr>
    </w:p>
    <w:p>
      <w:pPr>
        <w:ind w:hanging="709" w:left="709"/>
        <w:jc w:val="both"/>
        <w:rPr>
          <w:rFonts w:ascii="Courier New" w:hAnsi="Courier New" w:cs="Courier New"/>
        </w:rPr>
      </w:pPr>
      <w:r>
        <w:rPr>
          <w:rFonts w:ascii="Courier New" w:hAnsi="Courier New" w:cs="Courier New"/>
          <w:b w:val="1"/>
          <w:bCs w:val="1"/>
          <w:u w:val="single"/>
        </w:rPr>
        <w:t>Art.</w:t>
      </w:r>
      <w:r>
        <w:rPr>
          <w:rFonts w:ascii="Courier New" w:hAnsi="Courier New" w:cs="Courier New"/>
          <w:b w:val="1"/>
          <w:bCs w:val="1"/>
          <w:u w:val="single"/>
        </w:rPr>
        <w:t>7</w:t>
      </w:r>
      <w:r>
        <w:rPr>
          <w:rFonts w:ascii="Courier New" w:hAnsi="Courier New" w:cs="Courier New"/>
          <w:b w:val="1"/>
          <w:bCs w:val="1"/>
        </w:rPr>
        <w:t>: APLÍQUESE</w:t>
      </w:r>
      <w:r>
        <w:rPr>
          <w:rFonts w:ascii="Courier New" w:hAnsi="Courier New" w:cs="Courier New"/>
        </w:rPr>
        <w:t xml:space="preserve"> en el Área de Protección de Segundo Orden  la Ordenanza Nº 1430/84, con  relación a la demolición </w:t>
      </w:r>
    </w:p>
    <w:p>
      <w:pPr>
        <w:ind w:hanging="709" w:left="709"/>
        <w:jc w:val="right"/>
        <w:rPr>
          <w:rFonts w:ascii="Courier New" w:hAnsi="Courier New" w:cs="Courier New"/>
        </w:rPr>
      </w:pPr>
      <w:r>
        <w:rPr>
          <w:rFonts w:ascii="Courier New" w:hAnsi="Courier New" w:cs="Courier New"/>
        </w:rPr>
        <w:t>...///</w:t>
      </w: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rPr>
        <w:t>...///6.-</w:t>
      </w:r>
    </w:p>
    <w:p>
      <w:pPr>
        <w:ind w:hanging="709"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o modificación de construcciones anteriores al año 1930 sin autorización expresa del Departamento Ejecutivo, incorporando obras construidas hasta el año 1950.</w:t>
      </w:r>
    </w:p>
    <w:p>
      <w:pPr>
        <w:jc w:val="both"/>
        <w:rPr>
          <w:rFonts w:ascii="Courier New" w:hAnsi="Courier New" w:cs="Courier New"/>
          <w:lang/>
        </w:rPr>
      </w:pPr>
    </w:p>
    <w:p>
      <w:pPr>
        <w:ind w:hanging="709" w:left="709"/>
        <w:jc w:val="both"/>
        <w:rPr>
          <w:rFonts w:ascii="Courier New" w:hAnsi="Courier New" w:cs="Courier New"/>
        </w:rPr>
      </w:pPr>
      <w:r>
        <w:rPr>
          <w:rFonts w:ascii="Courier New" w:hAnsi="Courier New" w:cs="Courier New"/>
          <w:b w:val="1"/>
          <w:bCs w:val="1"/>
          <w:u w:val="single"/>
        </w:rPr>
        <w:t>Art.8</w:t>
      </w:r>
      <w:r>
        <w:rPr>
          <w:rFonts w:ascii="Courier New" w:hAnsi="Courier New" w:cs="Courier New"/>
          <w:b w:val="1"/>
          <w:bCs w:val="1"/>
        </w:rPr>
        <w:t>: SANCIÓNESE</w:t>
      </w:r>
      <w:r>
        <w:rPr>
          <w:rFonts w:ascii="Courier New" w:hAnsi="Courier New" w:cs="Courier New"/>
        </w:rPr>
        <w:t xml:space="preserve"> de acuerdo a las multas fijadas en los Arts. 239 a 245 y Arts. 250 y 251 de la Ordenanza Nº 4518/99, faltas e infracciones similares verificadas en el Área de Protección de Segundo Orden.</w:t>
      </w:r>
    </w:p>
    <w:p>
      <w:pPr>
        <w:jc w:val="both"/>
        <w:rPr>
          <w:rFonts w:ascii="Courier New" w:hAnsi="Courier New" w:cs="Courier New"/>
          <w:lang/>
        </w:rPr>
      </w:pPr>
    </w:p>
    <w:p>
      <w:pPr>
        <w:ind w:hanging="709" w:left="709"/>
        <w:jc w:val="both"/>
        <w:rPr>
          <w:rFonts w:ascii="Courier New" w:hAnsi="Courier New" w:cs="Courier New"/>
        </w:rPr>
      </w:pPr>
      <w:r>
        <w:rPr>
          <w:rFonts w:ascii="Courier New" w:hAnsi="Courier New" w:cs="Courier New"/>
          <w:b w:val="1"/>
          <w:bCs w:val="1"/>
          <w:u w:val="single"/>
        </w:rPr>
        <w:t>Art.9</w:t>
      </w:r>
      <w:r>
        <w:rPr>
          <w:rFonts w:ascii="Courier New" w:hAnsi="Courier New" w:cs="Courier New"/>
          <w:b w:val="1"/>
          <w:bCs w:val="1"/>
        </w:rPr>
        <w:t>: REGLAMÉNTESE</w:t>
      </w:r>
      <w:r>
        <w:rPr>
          <w:rFonts w:ascii="Courier New" w:hAnsi="Courier New" w:cs="Courier New"/>
        </w:rPr>
        <w:t xml:space="preserve"> a través del Departamento Ejecutivo la presente Ordenanza en el término de 180 días corridos.</w:t>
      </w: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Art.10</w:t>
      </w:r>
      <w:r>
        <w:rPr>
          <w:rFonts w:ascii="Courier New" w:hAnsi="Courier New" w:cs="Courier New"/>
          <w:b w:val="1"/>
          <w:bCs w:val="1"/>
        </w:rPr>
        <w:t>: ESTABLÉZCASE</w:t>
      </w:r>
      <w:r>
        <w:rPr>
          <w:rFonts w:ascii="Courier New" w:hAnsi="Courier New" w:cs="Courier New"/>
        </w:rPr>
        <w:t xml:space="preserve"> como parte de la Ordenanza el plano adjunto.</w:t>
      </w:r>
    </w:p>
    <w:p>
      <w:pPr>
        <w:jc w:val="both"/>
        <w:rPr>
          <w:rFonts w:ascii="Courier New" w:hAnsi="Courier New" w:cs="Courier New"/>
          <w:lang/>
        </w:rPr>
      </w:pPr>
    </w:p>
    <w:p>
      <w:pPr>
        <w:ind w:hanging="709" w:left="709"/>
        <w:jc w:val="both"/>
        <w:rPr>
          <w:rFonts w:ascii="Courier New" w:hAnsi="Courier New" w:cs="Courier New"/>
          <w:lang w:val="es-AR"/>
        </w:rPr>
      </w:pPr>
      <w:r>
        <w:rPr>
          <w:rFonts w:ascii="Courier New" w:hAnsi="Courier New" w:cs="Courier New"/>
          <w:b w:val="1"/>
          <w:bCs w:val="1"/>
          <w:u w:val="single"/>
          <w:lang w:val="es-MX"/>
        </w:rPr>
        <w:t>Art.1</w:t>
      </w:r>
      <w:r>
        <w:rPr>
          <w:rFonts w:ascii="Courier New" w:hAnsi="Courier New" w:cs="Courier New"/>
          <w:b w:val="1"/>
          <w:bCs w:val="1"/>
          <w:u w:val="single"/>
          <w:lang w:val="es-MX"/>
        </w:rPr>
        <w:t>1</w:t>
      </w:r>
      <w:r>
        <w:rPr>
          <w:rFonts w:ascii="Courier New" w:hAnsi="Courier New" w:cs="Courier New"/>
          <w:b w:val="1"/>
          <w:bCs w:val="1"/>
          <w:lang w:val="es-MX"/>
        </w:rPr>
        <w:t>: PROTOCOLÍCESE</w:t>
      </w:r>
      <w:r>
        <w:rPr>
          <w:rFonts w:ascii="Courier New" w:hAnsi="Courier New" w:cs="Courier New"/>
          <w:lang w:val="es-AR"/>
        </w:rPr>
        <w:t>, comuníquese, publíquese en el Boletín Oficial de la ciudad de Alta Gracia, incorpórese al Libro de Ordenanzas y archívese.</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b w:val="1"/>
          <w:bCs w:val="1"/>
        </w:rPr>
      </w:pPr>
      <w:r>
        <w:rPr>
          <w:rFonts w:ascii="Courier New" w:hAnsi="Courier New" w:cs="Courier New"/>
          <w:b w:val="1"/>
          <w:bCs w:val="1"/>
        </w:rPr>
        <w:t>DADA EN LA SALA DE SESIONES DEL HONORABLE CONCEJO DELIBERANTE A VEINTICINCO DÍAS DEL MES DE NOVIEMBRE DEL AÑO DOS MIL CUATRO.</w:t>
      </w:r>
    </w:p>
    <w:p>
      <w:pPr>
        <w:jc w:val="both"/>
        <w:rPr>
          <w:rFonts w:ascii="Courier New" w:hAnsi="Courier New" w:cs="Courier New"/>
          <w:lang/>
        </w:rPr>
      </w:pPr>
    </w:p>
    <w:sectPr>
      <w:headerReference w:type="default" r:id="RelHdr1"/>
      <w:footerReference w:type="default" r:id="RelFtr1"/>
      <w:footerReference w:type="even" r:id="RelFtr2"/>
      <w:type w:val="nextPage"/>
      <w:pgSz w:w="11907" w:h="16840" w:code="0"/>
      <w:pgMar w:left="1701" w:right="1701" w:top="1418" w:bottom="1418" w:header="720" w:footer="720" w:gutter="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ind w:right="360"/>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framePr w:wrap="around" w:vAnchor="text" w:hAnchor="margin" w:xAlign="right" w:y="1"/>
    </w:pPr>
    <w:r>
      <w:fldChar w:fldCharType="begin"/>
    </w:r>
    <w:r>
      <w:instrText xml:space="preserve">PAGE  </w:instrText>
    </w:r>
    <w:r>
      <w:fldChar w:fldCharType="separate"/>
    </w:r>
    <w:r>
      <w:t>#</w:t>
    </w:r>
    <w:r>
      <w:fldChar w:fldCharType="end"/>
    </w:r>
  </w:p>
  <w:p>
    <w:pPr>
      <w:pStyle w:val="P11"/>
      <w:ind w:right="360"/>
    </w:pP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0"/>
      <w:tabs>
        <w:tab w:val="clear" w:pos="8838" w:leader="none"/>
        <w:tab w:val="right" w:pos="9781" w:leader="none"/>
      </w:tabs>
      <w:rPr>
        <w:b w:val="1"/>
        <w:bCs w:val="1"/>
      </w:rPr>
    </w:pPr>
    <w:r>
      <w:rPr>
        <w:b w:val="1"/>
        <w:bCs w:val="1"/>
      </w:rPr>
      <w:t xml:space="preserve">              </w:t>
    </w:r>
  </w:p>
  <w:p>
    <w:pPr>
      <w:pStyle w:val="P10"/>
      <w:tabs>
        <w:tab w:val="left" w:pos="6379" w:leader="none"/>
      </w:tabs>
      <w:jc w:val="both"/>
      <w:rPr>
        <w:rFonts w:ascii="Garamond" w:hAnsi="Garamond"/>
        <w:b w:val="1"/>
        <w:bCs w:val="1"/>
        <w:sz w:val="28"/>
        <w:szCs w:val="28"/>
      </w:rPr>
    </w:pPr>
  </w:p>
  <w:p>
    <w:pPr>
      <w:pStyle w:val="P10"/>
      <w:tabs>
        <w:tab w:val="left" w:pos="6379" w:leader="none"/>
      </w:tabs>
      <w:ind w:left="6237"/>
      <w:rPr>
        <w:rFonts w:ascii="Garamond" w:hAnsi="Garamond"/>
        <w:b w:val="1"/>
        <w:bCs w:val="1"/>
        <w:sz w:val="28"/>
        <w:szCs w:val="28"/>
      </w:rPr>
    </w:pPr>
  </w:p>
</w:hdr>
</file>

<file path=word/numbering.xml><?xml version="1.0" encoding="utf-8"?>
<w:numbering xmlns:w="http://schemas.openxmlformats.org/wordprocessingml/2006/main">
  <w:abstractNum w:abstractNumId="0">
    <w:nsid w:val="0BC0667B"/>
    <w:multiLevelType w:val="multilevel"/>
    <w:lvl w:ilvl="0">
      <w:start w:val="1"/>
      <w:numFmt w:val="decimal"/>
      <w:suff w:val="tab"/>
      <w:lvlText w:val="Art. %1)."/>
      <w:lvlJc w:val="left"/>
      <w:pPr>
        <w:ind w:firstLine="0" w:left="0"/>
        <w:tabs>
          <w:tab w:val="num" w:pos="720" w:leader="none"/>
        </w:tabs>
      </w:pPr>
      <w:rPr>
        <w:rFonts w:ascii="Arial" w:hAnsi="Arial"/>
        <w:b w:val="1"/>
        <w:i w:val="0"/>
        <w:bCs w:val="1"/>
        <w:iCs w:val="0"/>
        <w:caps w:val="0"/>
        <w:strike w:val="0"/>
        <w:vanish w:val="0"/>
        <w:color w:val="auto"/>
        <w:sz w:val="20"/>
        <w:szCs w:val="20"/>
        <w:vertAlign w:val="baseline"/>
      </w:rPr>
    </w:lvl>
    <w:lvl w:ilvl="1">
      <w:start w:val="1"/>
      <w:numFmt w:val="decimalZero"/>
      <w:isLgl w:val="1"/>
      <w:suff w:val="tab"/>
      <w:lvlText w:val="Sección %1.%2"/>
      <w:lvlJc w:val="left"/>
      <w:pPr>
        <w:ind w:firstLine="0" w:left="0"/>
        <w:tabs>
          <w:tab w:val="num" w:pos="1080" w:leader="none"/>
        </w:tabs>
      </w:pPr>
      <w:rPr/>
    </w:lvl>
    <w:lvl w:ilvl="2">
      <w:start w:val="1"/>
      <w:numFmt w:val="lowerLetter"/>
      <w:suff w:val="tab"/>
      <w:lvlText w:val="(%3)"/>
      <w:lvlJc w:val="left"/>
      <w:pPr>
        <w:ind w:hanging="432" w:left="720"/>
        <w:tabs>
          <w:tab w:val="num" w:pos="720" w:leader="none"/>
        </w:tabs>
      </w:pPr>
      <w:rPr/>
    </w:lvl>
    <w:lvl w:ilvl="3">
      <w:start w:val="1"/>
      <w:numFmt w:val="lowerRoman"/>
      <w:suff w:val="tab"/>
      <w:lvlText w:val="(%4)"/>
      <w:lvlJc w:val="right"/>
      <w:pPr>
        <w:ind w:hanging="144" w:left="864"/>
        <w:tabs>
          <w:tab w:val="num" w:pos="864" w:leader="none"/>
        </w:tabs>
      </w:pPr>
      <w:rPr/>
    </w:lvl>
    <w:lvl w:ilvl="4">
      <w:start w:val="1"/>
      <w:numFmt w:val="decimal"/>
      <w:suff w:val="tab"/>
      <w:lvlText w:val="%5)"/>
      <w:lvlJc w:val="left"/>
      <w:pPr>
        <w:ind w:hanging="432" w:left="1008"/>
        <w:tabs>
          <w:tab w:val="num" w:pos="1008" w:leader="none"/>
        </w:tabs>
      </w:pPr>
      <w:rPr/>
    </w:lvl>
    <w:lvl w:ilvl="5">
      <w:start w:val="1"/>
      <w:numFmt w:val="lowerLetter"/>
      <w:suff w:val="tab"/>
      <w:lvlText w:val="%6)"/>
      <w:lvlJc w:val="left"/>
      <w:pPr>
        <w:ind w:hanging="432" w:left="1152"/>
        <w:tabs>
          <w:tab w:val="num" w:pos="1152" w:leader="none"/>
        </w:tabs>
      </w:pPr>
      <w:rPr/>
    </w:lvl>
    <w:lvl w:ilvl="6">
      <w:start w:val="1"/>
      <w:numFmt w:val="lowerRoman"/>
      <w:suff w:val="tab"/>
      <w:lvlText w:val="%7)"/>
      <w:lvlJc w:val="right"/>
      <w:pPr>
        <w:ind w:hanging="288" w:left="1296"/>
        <w:tabs>
          <w:tab w:val="num" w:pos="1296" w:leader="none"/>
        </w:tabs>
      </w:pPr>
      <w:rPr/>
    </w:lvl>
    <w:lvl w:ilvl="7">
      <w:start w:val="1"/>
      <w:numFmt w:val="lowerLetter"/>
      <w:suff w:val="tab"/>
      <w:lvlText w:val="%8."/>
      <w:lvlJc w:val="left"/>
      <w:pPr>
        <w:ind w:hanging="432" w:left="1440"/>
        <w:tabs>
          <w:tab w:val="num" w:pos="1440" w:leader="none"/>
        </w:tabs>
      </w:pPr>
      <w:rPr/>
    </w:lvl>
    <w:lvl w:ilvl="8">
      <w:start w:val="1"/>
      <w:numFmt w:val="lowerRoman"/>
      <w:suff w:val="tab"/>
      <w:lvlText w:val="%9."/>
      <w:lvlJc w:val="right"/>
      <w:pPr>
        <w:ind w:hanging="144" w:left="1584"/>
        <w:tabs>
          <w:tab w:val="num" w:pos="1584" w:leader="none"/>
        </w:tabs>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9"/>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right"/>
      <w:outlineLvl w:val="0"/>
    </w:pPr>
    <w:rPr>
      <w:b w:val="1"/>
      <w:bCs w:val="1"/>
      <w:lang/>
    </w:rPr>
  </w:style>
  <w:style w:type="paragraph" w:styleId="P2">
    <w:name w:val="Heading 2"/>
    <w:basedOn w:val="P0"/>
    <w:next w:val="P0"/>
    <w:pPr>
      <w:keepNext w:val="1"/>
      <w:outlineLvl w:val="1"/>
    </w:pPr>
    <w:rPr>
      <w:b w:val="1"/>
      <w:bCs w:val="1"/>
      <w:lang/>
    </w:rPr>
  </w:style>
  <w:style w:type="paragraph" w:styleId="P3">
    <w:name w:val="Heading 3"/>
    <w:basedOn w:val="P0"/>
    <w:next w:val="P0"/>
    <w:pPr>
      <w:keepNext w:val="1"/>
      <w:outlineLvl w:val="2"/>
    </w:pPr>
    <w:rPr>
      <w:b w:val="1"/>
      <w:bCs w:val="1"/>
      <w:u w:val="single"/>
      <w:lang/>
    </w:rPr>
  </w:style>
  <w:style w:type="paragraph" w:styleId="P4">
    <w:name w:val="Heading 4"/>
    <w:basedOn w:val="P0"/>
    <w:next w:val="P0"/>
    <w:pPr>
      <w:keepNext w:val="1"/>
      <w:jc w:val="center"/>
      <w:outlineLvl w:val="3"/>
    </w:pPr>
    <w:rPr>
      <w:b w:val="1"/>
      <w:bCs w:val="1"/>
      <w:u w:val="single"/>
      <w:lang/>
    </w:rPr>
  </w:style>
  <w:style w:type="paragraph" w:styleId="P5">
    <w:name w:val="Heading 5"/>
    <w:basedOn w:val="P0"/>
    <w:next w:val="P0"/>
    <w:pPr>
      <w:keepNext w:val="1"/>
      <w:outlineLvl w:val="4"/>
    </w:pPr>
    <w:rPr>
      <w:b w:val="1"/>
      <w:bCs w:val="1"/>
      <w:sz w:val="28"/>
      <w:szCs w:val="28"/>
      <w:lang/>
    </w:rPr>
  </w:style>
  <w:style w:type="paragraph" w:styleId="P6">
    <w:name w:val="Heading 6"/>
    <w:basedOn w:val="P0"/>
    <w:next w:val="P0"/>
    <w:pPr>
      <w:keepNext w:val="1"/>
      <w:jc w:val="center"/>
      <w:outlineLvl w:val="5"/>
    </w:pPr>
    <w:rPr>
      <w:sz w:val="28"/>
      <w:szCs w:val="28"/>
      <w:u w:val="single"/>
      <w:lang/>
    </w:rPr>
  </w:style>
  <w:style w:type="paragraph" w:styleId="P7">
    <w:name w:val="Heading 7"/>
    <w:basedOn w:val="P0"/>
    <w:next w:val="P0"/>
    <w:pPr>
      <w:spacing w:before="240" w:after="60"/>
      <w:outlineLvl w:val="6"/>
    </w:pPr>
    <w:rPr>
      <w:lang w:val="es-AR"/>
    </w:rPr>
  </w:style>
  <w:style w:type="paragraph" w:styleId="P8">
    <w:name w:val="Heading 8"/>
    <w:basedOn w:val="P0"/>
    <w:next w:val="P0"/>
    <w:pPr>
      <w:spacing w:before="240" w:after="60"/>
      <w:outlineLvl w:val="7"/>
    </w:pPr>
    <w:rPr>
      <w:i w:val="1"/>
      <w:iCs w:val="1"/>
      <w:lang w:val="es-AR"/>
    </w:rPr>
  </w:style>
  <w:style w:type="paragraph" w:styleId="P9">
    <w:name w:val="Heading 9"/>
    <w:basedOn w:val="P0"/>
    <w:next w:val="P0"/>
    <w:pPr>
      <w:spacing w:before="240" w:after="60"/>
      <w:outlineLvl w:val="8"/>
    </w:pPr>
    <w:rPr>
      <w:rFonts w:ascii="Arial" w:hAnsi="Arial"/>
      <w:sz w:val="22"/>
      <w:szCs w:val="22"/>
      <w:lang w:val="es-AR"/>
    </w:rPr>
  </w:style>
  <w:style w:type="paragraph" w:styleId="P10">
    <w:name w:val="Header"/>
    <w:basedOn w:val="P0"/>
    <w:next w:val="P10"/>
    <w:pPr>
      <w:tabs>
        <w:tab w:val="center" w:pos="4419" w:leader="none"/>
        <w:tab w:val="right" w:pos="8838" w:leader="none"/>
      </w:tabs>
    </w:pPr>
    <w:rPr/>
  </w:style>
  <w:style w:type="paragraph" w:styleId="P11">
    <w:name w:val="Footer"/>
    <w:basedOn w:val="P0"/>
    <w:next w:val="P11"/>
    <w:pPr>
      <w:tabs>
        <w:tab w:val="center" w:pos="4419" w:leader="none"/>
        <w:tab w:val="right" w:pos="8838" w:leader="none"/>
      </w:tabs>
    </w:pPr>
    <w:rPr/>
  </w:style>
  <w:style w:type="paragraph" w:styleId="P12">
    <w:name w:val="Body Text"/>
    <w:basedOn w:val="P0"/>
    <w:next w:val="P12"/>
    <w:pPr/>
    <w:rPr>
      <w:lang/>
    </w:rPr>
  </w:style>
  <w:style w:type="paragraph" w:styleId="P13">
    <w:name w:val="List 4"/>
    <w:basedOn w:val="P0"/>
    <w:next w:val="P13"/>
    <w:pPr>
      <w:ind w:hanging="283" w:left="1132"/>
    </w:pPr>
    <w:rPr>
      <w:sz w:val="20"/>
      <w:szCs w:val="20"/>
      <w:lang/>
    </w:rPr>
  </w:style>
  <w:style w:type="paragraph" w:styleId="P14">
    <w:name w:val="Plain Text"/>
    <w:basedOn w:val="P0"/>
    <w:next w:val="P14"/>
    <w:pPr/>
    <w:rPr>
      <w:rFonts w:ascii="Courier New" w:hAnsi="Courier New"/>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planeamiento</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Municiplidad de Alta Gracia</dc:creator>
  <dcterms:created xsi:type="dcterms:W3CDTF">2026-07-09T19:10:04Z</dcterms:created>
  <cp:lastModifiedBy>Federico Parisi</cp:lastModifiedBy>
  <cp:lastPrinted>2004-11-29T14:47:00Z</cp:lastPrinted>
  <dcterms:modified xsi:type="dcterms:W3CDTF">2026-07-09T19:10:04Z</dcterms:modified>
  <cp:revision>2</cp:revision>
  <dc:title>Alta Gracia, Agosto 14 de 2002</dc:title>
</cp:coreProperties>
</file>