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 xml:space="preserve">ORDENANZA Nº </w:t>
      </w:r>
      <w:r>
        <w:rPr>
          <w:b w:val="1"/>
          <w:bCs w:val="1"/>
          <w:sz w:val="24"/>
          <w:szCs w:val="24"/>
          <w:u w:val="single"/>
        </w:rPr>
        <w:t>7130</w:t>
      </w: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Los expedientes Nº 692 Bis/02 y 1122/04 donde se solicita exención de Tasa por Servicios de Administración y Mantenimiento de los Cementerios;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se trata de solicitudes de exenciones para diferentes vecinos de nuestra ciudad;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respectivos estudios socioeconómicos informan que se trata de familias que atraviesan difíciles situaciones que determinan la imposibilidad de hacer frente a muchas necesidades básicas;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Que, generalmente, realizan trabajos inestables (changas) para poder lograr su subsistencia mínima;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generalmente, presentan importantes problemas de salud con tratamiento permanente y gastos en medicamentos que les impide afrontar la deuda contraída;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través de las respectivas oficinas municipales se cumplimentaron los informes necesarios a los efectos de hacer posibles las exenciones solicitadas;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 cada uno de los Expedientes mencionados por Comisión de Hacienda, la misma emite despacho accediendo a lo solicitado en el marco de las Ordenanzas vigentes, despacho aprobado por unanimidad en Sesión Ordinaria de fecha 14 de octubre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1" w:left="708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P1"/>
        <w:ind w:firstLine="1" w:left="708"/>
        <w:rPr>
          <w:b w:val="1"/>
          <w:bCs w:val="1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EXÍMASE </w:t>
      </w:r>
      <w:r>
        <w:rPr>
          <w:sz w:val="24"/>
          <w:szCs w:val="24"/>
        </w:rPr>
        <w:t>a los titulares de las siguientes identificaciones, en los porcentajes abajo detallados, de la deuda que en concepto de Tasa por Servicios de Administración y Mantenimiento de los Cementerios mantienen con el Municipio respecto de las identificaciones correspondientes: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2189"/>
        <w:gridCol w:w="1417"/>
        <w:gridCol w:w="1418"/>
        <w:gridCol w:w="850"/>
        <w:gridCol w:w="1961"/>
      </w:tblGrid>
      <w:tr>
        <w:tc>
          <w:tcPr>
            <w:tcW w:w="156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Identificación</w:t>
            </w:r>
            <w:r>
              <w:rPr>
                <w:b w:val="1"/>
                <w:bCs w:val="1"/>
                <w:sz w:val="24"/>
                <w:szCs w:val="24"/>
              </w:rPr>
              <w:t xml:space="preserve"> Nº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Expte. N°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% Exención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Desde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Hasta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Monsalvo, María Beatriz</w:t>
            </w:r>
          </w:p>
        </w:tc>
        <w:tc>
          <w:tcPr>
            <w:tcW w:w="2189" w:type="dxa"/>
          </w:tcPr>
          <w:p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3370, 1018 y 3880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1122/04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Diciembre de 2003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56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Bazán, Alberto Marcelo</w:t>
            </w:r>
          </w:p>
        </w:tc>
        <w:tc>
          <w:tcPr>
            <w:tcW w:w="2189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5567</w:t>
            </w:r>
          </w:p>
        </w:tc>
        <w:tc>
          <w:tcPr>
            <w:tcW w:w="1417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692 Bis/02</w:t>
            </w:r>
          </w:p>
        </w:tc>
        <w:tc>
          <w:tcPr>
            <w:tcW w:w="1418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850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61" w:type="dxa"/>
          </w:tcPr>
          <w:p>
            <w:pPr>
              <w:pStyle w:val="P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REALÍCESE </w:t>
      </w:r>
      <w:r>
        <w:rPr>
          <w:sz w:val="24"/>
          <w:szCs w:val="24"/>
        </w:rPr>
        <w:t xml:space="preserve">Plan de Pagos con el  CINCUENTA POR CIENTO (50%) restante de la deuda, de acuerdo a Ordenanzas vigentes, que en concepto de Tasa por Servicios de Administración y Mantenimiento de los Cementerios mantiene la identificación correspondiente: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  <w:sectPr>
          <w:type w:val="nextPage"/>
          <w:pgSz w:w="11907" w:h="16840" w:code="0"/>
          <w:pgMar w:left="1321" w:right="1321" w:top="1418" w:bottom="1418" w:header="720" w:footer="720" w:gutter="0"/>
        </w:sect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2268"/>
        <w:gridCol w:w="1275"/>
        <w:gridCol w:w="4231"/>
      </w:tblGrid>
      <w:tr>
        <w:tc>
          <w:tcPr>
            <w:tcW w:w="1630" w:type="dxa"/>
          </w:tcPr>
          <w:p>
            <w:pPr>
              <w:pStyle w:val="P1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Titular</w:t>
            </w:r>
          </w:p>
        </w:tc>
        <w:tc>
          <w:tcPr>
            <w:tcW w:w="2268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Identificació</w:t>
            </w:r>
            <w:r>
              <w:rPr>
                <w:b w:val="1"/>
                <w:bCs w:val="1"/>
                <w:sz w:val="24"/>
                <w:szCs w:val="24"/>
              </w:rPr>
              <w:t>n Nº</w:t>
            </w:r>
          </w:p>
        </w:tc>
        <w:tc>
          <w:tcPr>
            <w:tcW w:w="1275" w:type="dxa"/>
          </w:tcPr>
          <w:p>
            <w:pPr>
              <w:pStyle w:val="P1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E</w:t>
            </w:r>
            <w:r>
              <w:rPr>
                <w:b w:val="1"/>
                <w:bCs w:val="1"/>
                <w:sz w:val="24"/>
                <w:szCs w:val="24"/>
              </w:rPr>
              <w:t>xpte.</w:t>
            </w:r>
          </w:p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Nº</w:t>
            </w:r>
          </w:p>
        </w:tc>
        <w:tc>
          <w:tcPr>
            <w:tcW w:w="4231" w:type="dxa"/>
          </w:tcPr>
          <w:p>
            <w:pPr>
              <w:pStyle w:val="P1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Observaciones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1630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Monsalvo, María Beatriz</w:t>
            </w:r>
          </w:p>
        </w:tc>
        <w:tc>
          <w:tcPr>
            <w:tcW w:w="2268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3370, 1018 y 3880.</w:t>
            </w:r>
          </w:p>
        </w:tc>
        <w:tc>
          <w:tcPr>
            <w:tcW w:w="1275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1122/04</w:t>
            </w:r>
          </w:p>
        </w:tc>
        <w:tc>
          <w:tcPr>
            <w:tcW w:w="4231" w:type="dxa"/>
          </w:tcPr>
          <w:p>
            <w:pPr>
              <w:pStyle w:val="P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 vez otorgado el Plan de Pagos, pasar los restos óseos a tierra.</w:t>
            </w:r>
          </w:p>
        </w:tc>
      </w:tr>
    </w:tbl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</w:t>
      </w:r>
      <w:r>
        <w:rPr>
          <w:b w:val="1"/>
          <w:bCs w:val="1"/>
          <w:sz w:val="24"/>
          <w:szCs w:val="24"/>
        </w:rPr>
        <w:t xml:space="preserve"> PROTOCOL</w:t>
      </w:r>
      <w:r>
        <w:rPr>
          <w:b w:val="1"/>
          <w:bCs w:val="1"/>
          <w:sz w:val="24"/>
          <w:szCs w:val="24"/>
        </w:rPr>
        <w:t>ÍCESE</w:t>
      </w:r>
      <w:r>
        <w:rPr>
          <w:b w:val="1"/>
          <w:bCs w:val="1"/>
          <w:sz w:val="24"/>
          <w:szCs w:val="24"/>
        </w:rPr>
        <w:t>,</w:t>
      </w:r>
      <w:r>
        <w:rPr>
          <w:sz w:val="24"/>
          <w:szCs w:val="24"/>
        </w:rPr>
        <w:t xml:space="preserve"> comuníquese, publíquese en el Boletín Oficial de la ciudad de Alta Gracia e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 xml:space="preserve">DADA EN LA SALA DE SESIONES DEL HONORABLE CONCEJO DELIBERANTE A </w:t>
      </w:r>
      <w:r>
        <w:rPr>
          <w:b w:val="1"/>
          <w:bCs w:val="1"/>
          <w:sz w:val="24"/>
          <w:szCs w:val="24"/>
        </w:rPr>
        <w:t>VEINTICINCO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NOVIEMBRE</w:t>
      </w:r>
      <w:r>
        <w:rPr>
          <w:b w:val="1"/>
          <w:bCs w:val="1"/>
          <w:sz w:val="24"/>
          <w:szCs w:val="24"/>
        </w:rPr>
        <w:t xml:space="preserve">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2026-07-09T19:09:55Z</dcterms:created>
  <cp:lastModifiedBy>Federico Parisi</cp:lastModifiedBy>
  <cp:lastPrinted>2004-12-09T14:40:00Z</cp:lastPrinted>
  <dcterms:modified xsi:type="dcterms:W3CDTF">2026-07-09T19:09:55Z</dcterms:modified>
  <cp:revision>2</cp:revision>
  <dc:title>1¾   «        M</dc:title>
</cp:coreProperties>
</file>