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b w:val="1"/>
          <w:bCs w:val="1"/>
          <w:sz w:val="24"/>
          <w:szCs w:val="24"/>
          <w:u w:val="single"/>
        </w:rPr>
      </w:pPr>
      <w:r>
        <w:rPr>
          <w:b w:val="1"/>
          <w:bCs w:val="1"/>
          <w:sz w:val="24"/>
          <w:szCs w:val="24"/>
          <w:u w:val="single"/>
        </w:rPr>
        <w:t>ORDENANZA Nº7131</w:t>
      </w:r>
    </w:p>
    <w:p>
      <w:pPr>
        <w:pStyle w:val="P1"/>
        <w:jc w:val="center"/>
        <w:rPr>
          <w:sz w:val="24"/>
          <w:szCs w:val="24"/>
        </w:rPr>
      </w:pPr>
      <w:r>
        <w:rPr>
          <w:b w:val="1"/>
          <w:bCs w:val="1"/>
          <w:sz w:val="24"/>
          <w:szCs w:val="24"/>
          <w:u w:val="single"/>
        </w:rPr>
        <w:t xml:space="preserve">  </w:t>
      </w:r>
    </w:p>
    <w:p>
      <w:pPr>
        <w:pStyle w:val="P1"/>
        <w:ind w:hanging="709" w:left="709"/>
        <w:jc w:val="center"/>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Los expedientes Nº 1879/04, 606/I/04, y 1198/02 donde se solicita exención de Tasa por Servicios de Administración y Mantenimiento de los Cementerios; y</w:t>
      </w: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C O N S I D E R A N D O</w:t>
      </w:r>
    </w:p>
    <w:p>
      <w:pPr>
        <w:pStyle w:val="P2"/>
        <w:ind w:left="0"/>
        <w:rPr>
          <w:rFonts w:ascii="Courier New" w:hAnsi="Courier New"/>
        </w:rPr>
      </w:pPr>
    </w:p>
    <w:p>
      <w:pPr>
        <w:pStyle w:val="P2"/>
        <w:ind w:left="0"/>
        <w:rPr>
          <w:rFonts w:ascii="Courier New" w:hAnsi="Courier New"/>
        </w:rPr>
      </w:pPr>
      <w:r>
        <w:rPr>
          <w:rFonts w:ascii="Courier New" w:hAnsi="Courier New"/>
        </w:rPr>
        <w:tab/>
      </w:r>
    </w:p>
    <w:p>
      <w:pPr>
        <w:pStyle w:val="P2"/>
        <w:ind w:hanging="709"/>
        <w:rPr>
          <w:rFonts w:ascii="Courier New" w:hAnsi="Courier New"/>
        </w:rPr>
      </w:pPr>
      <w:r>
        <w:rPr>
          <w:rFonts w:ascii="Courier New" w:hAnsi="Courier New"/>
        </w:rPr>
        <w:tab/>
      </w:r>
    </w:p>
    <w:p>
      <w:pPr>
        <w:pStyle w:val="P2"/>
        <w:ind w:hanging="1"/>
        <w:rPr>
          <w:rFonts w:ascii="Courier New" w:hAnsi="Courier New"/>
        </w:rPr>
      </w:pPr>
      <w:r>
        <w:rPr>
          <w:rFonts w:ascii="Courier New" w:hAnsi="Courier New"/>
        </w:rPr>
        <w:t>Que se trata de solicitudes de exenciones para diferentes vecinos de nuestra ciudad;</w:t>
      </w:r>
    </w:p>
    <w:p>
      <w:pPr>
        <w:pStyle w:val="P2"/>
        <w:ind w:hanging="1"/>
        <w:rPr>
          <w:rFonts w:ascii="Courier New" w:hAnsi="Courier New"/>
        </w:rPr>
      </w:pPr>
    </w:p>
    <w:p>
      <w:pPr>
        <w:pStyle w:val="P2"/>
        <w:ind w:hanging="1"/>
        <w:rPr>
          <w:rFonts w:ascii="Courier New" w:hAnsi="Courier New"/>
        </w:rPr>
      </w:pPr>
      <w:r>
        <w:rPr>
          <w:rFonts w:ascii="Courier New" w:hAnsi="Courier New"/>
        </w:rPr>
        <w:t>Que los respectivos estudios socioeconómicos informan que se trata de familias que atraviesan difíciles situaciones que determinan la imposibilidad de hacer frente a muchas necesidades básicas;</w:t>
      </w:r>
    </w:p>
    <w:p>
      <w:pPr>
        <w:pStyle w:val="P2"/>
        <w:ind w:hanging="1"/>
        <w:rPr>
          <w:rFonts w:ascii="Courier New" w:hAnsi="Courier New"/>
        </w:rPr>
      </w:pPr>
    </w:p>
    <w:p>
      <w:pPr>
        <w:pStyle w:val="P2"/>
        <w:ind w:hanging="1"/>
        <w:rPr>
          <w:rFonts w:ascii="Courier New" w:hAnsi="Courier New"/>
        </w:rPr>
      </w:pPr>
      <w:r>
        <w:rPr>
          <w:rFonts w:ascii="Courier New" w:hAnsi="Courier New"/>
        </w:rPr>
        <w:t>Que, generalmente, realizan trabajos inestables (changas) para poder lograr su subsistencia mínima;</w:t>
      </w:r>
    </w:p>
    <w:p>
      <w:pPr>
        <w:pStyle w:val="P2"/>
        <w:ind w:hanging="1"/>
        <w:rPr>
          <w:rFonts w:ascii="Courier New" w:hAnsi="Courier New"/>
        </w:rPr>
      </w:pPr>
    </w:p>
    <w:p>
      <w:pPr>
        <w:pStyle w:val="P2"/>
        <w:ind w:hanging="1"/>
        <w:rPr>
          <w:rFonts w:ascii="Courier New" w:hAnsi="Courier New"/>
        </w:rPr>
      </w:pPr>
      <w:r>
        <w:rPr>
          <w:rFonts w:ascii="Courier New" w:hAnsi="Courier New"/>
        </w:rPr>
        <w:t>Que generalmente, presentan importantes problemas de salud con tratamiento permanente y gastos en medicamentos que les impide afrontar la deuda contraída;</w:t>
      </w:r>
    </w:p>
    <w:p>
      <w:pPr>
        <w:pStyle w:val="P2"/>
        <w:ind w:hanging="1"/>
        <w:rPr>
          <w:rFonts w:ascii="Courier New" w:hAnsi="Courier New"/>
        </w:rPr>
      </w:pPr>
    </w:p>
    <w:p>
      <w:pPr>
        <w:pStyle w:val="P2"/>
        <w:ind w:hanging="1"/>
        <w:rPr>
          <w:rFonts w:ascii="Courier New" w:hAnsi="Courier New"/>
        </w:rPr>
      </w:pPr>
      <w:r>
        <w:rPr>
          <w:rFonts w:ascii="Courier New" w:hAnsi="Courier New"/>
        </w:rPr>
        <w:t>Que a través de las respectivas oficinas municipales se cumplimentaron los informes necesarios a los efectos de hacer posibles las exenciones solicitadas;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 cada uno de los Expedientes mencionados por Comisión de Hacienda, la misma emite despacho accediendo a lo solicitado en el marco de las Ordenanzas vigentes, despacho aprobado por unanimidad en Sesión Ordinaria de fecha 02 de diciembre de 2004.   </w:t>
      </w:r>
    </w:p>
    <w:p>
      <w:pPr>
        <w:pStyle w:val="P2"/>
        <w:ind w:hanging="1"/>
        <w:rPr>
          <w:rFonts w:ascii="Courier New" w:hAnsi="Courier New"/>
        </w:rPr>
      </w:pPr>
    </w:p>
    <w:p>
      <w:pPr>
        <w:pStyle w:val="P2"/>
        <w:ind w:hanging="1"/>
        <w:rPr>
          <w:rFonts w:ascii="Courier New" w:hAnsi="Courier New"/>
        </w:rPr>
      </w:pPr>
    </w:p>
    <w:p>
      <w:pPr>
        <w:pStyle w:val="P1"/>
        <w:ind w:firstLine="1" w:left="708"/>
        <w:rPr>
          <w:sz w:val="24"/>
          <w:szCs w:val="24"/>
        </w:rPr>
      </w:pPr>
      <w:r>
        <w:rPr>
          <w:sz w:val="24"/>
          <w:szCs w:val="24"/>
        </w:rPr>
        <w:t xml:space="preserve"> </w:t>
      </w:r>
    </w:p>
    <w:p>
      <w:pPr>
        <w:pStyle w:val="P1"/>
        <w:ind w:firstLine="1" w:left="708"/>
        <w:rPr>
          <w:b w:val="1"/>
          <w:bCs w:val="1"/>
          <w:sz w:val="24"/>
          <w:szCs w:val="24"/>
        </w:rPr>
      </w:pPr>
      <w:r>
        <w:rPr>
          <w:sz w:val="24"/>
          <w:szCs w:val="24"/>
        </w:rPr>
        <w:t xml:space="preserve">       </w:t>
      </w: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p>
    <w:p>
      <w:pPr>
        <w:pStyle w:val="P1"/>
        <w:ind w:left="1416"/>
        <w:rPr>
          <w:b w:val="1"/>
          <w:bCs w:val="1"/>
          <w:sz w:val="24"/>
          <w:szCs w:val="24"/>
        </w:rPr>
      </w:pPr>
      <w:r>
        <w:rPr>
          <w:b w:val="1"/>
          <w:bCs w:val="1"/>
          <w:sz w:val="24"/>
          <w:szCs w:val="24"/>
        </w:rPr>
        <w:t xml:space="preserve"> </w:t>
      </w:r>
      <w:r>
        <w:rPr>
          <w:b w:val="1"/>
          <w:bCs w:val="1"/>
          <w:sz w:val="24"/>
          <w:szCs w:val="24"/>
        </w:rPr>
        <w:t xml:space="preserve">   </w:t>
      </w:r>
      <w:r>
        <w:rPr>
          <w:b w:val="1"/>
          <w:bCs w:val="1"/>
          <w:sz w:val="24"/>
          <w:szCs w:val="24"/>
        </w:rPr>
        <w:t>ALTA GRACIA SANCIONA CON FUERZA DE ORDENANZA</w:t>
      </w:r>
    </w:p>
    <w:p>
      <w:pPr>
        <w:pStyle w:val="P1"/>
        <w:jc w:val="right"/>
        <w:rPr>
          <w:sz w:val="24"/>
          <w:szCs w:val="24"/>
        </w:rPr>
      </w:pPr>
      <w:r>
        <w:rPr>
          <w:sz w:val="24"/>
          <w:szCs w:val="24"/>
        </w:rPr>
        <w:t>...///</w:t>
      </w:r>
    </w:p>
    <w:p>
      <w:pPr>
        <w:pStyle w:val="P1"/>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EXÍMASE </w:t>
      </w:r>
      <w:r>
        <w:rPr>
          <w:sz w:val="24"/>
          <w:szCs w:val="24"/>
        </w:rPr>
        <w:t>a los titulares de las siguientes identificaciones, en los porcentajes abajo detallados, de la deuda que en concepto de Tasa por Servicios de Administración y Mantenimiento de los Cementerios mantienen con el Municipio respecto de las identificaciones correspondientes:</w:t>
      </w:r>
    </w:p>
    <w:p>
      <w:pPr>
        <w:pStyle w:val="P1"/>
        <w:ind w:hanging="709" w:left="709"/>
        <w:jc w:val="both"/>
        <w:rPr>
          <w:b w:val="1"/>
          <w:bCs w:val="1"/>
          <w:sz w:val="24"/>
          <w:szCs w:val="24"/>
          <w:u w:val="single"/>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1567"/>
        <w:gridCol w:w="2189"/>
        <w:gridCol w:w="1417"/>
        <w:gridCol w:w="1418"/>
        <w:gridCol w:w="850"/>
        <w:gridCol w:w="1961"/>
      </w:tblGrid>
      <w:tr>
        <w:tc>
          <w:tcPr>
            <w:tcW w:w="1567" w:type="dxa"/>
          </w:tcPr>
          <w:p>
            <w:pPr>
              <w:pStyle w:val="P1"/>
              <w:jc w:val="center"/>
              <w:rPr>
                <w:b w:val="1"/>
                <w:bCs w:val="1"/>
                <w:sz w:val="24"/>
                <w:szCs w:val="24"/>
              </w:rPr>
            </w:pPr>
            <w:r>
              <w:rPr>
                <w:b w:val="1"/>
                <w:bCs w:val="1"/>
                <w:sz w:val="24"/>
                <w:szCs w:val="24"/>
              </w:rPr>
              <w:t>Titular</w:t>
            </w:r>
          </w:p>
        </w:tc>
        <w:tc>
          <w:tcPr>
            <w:tcW w:w="2189" w:type="dxa"/>
          </w:tcPr>
          <w:p>
            <w:pPr>
              <w:pStyle w:val="P1"/>
              <w:jc w:val="center"/>
              <w:rPr>
                <w:b w:val="1"/>
                <w:bCs w:val="1"/>
                <w:sz w:val="24"/>
                <w:szCs w:val="24"/>
              </w:rPr>
            </w:pPr>
            <w:r>
              <w:rPr>
                <w:b w:val="1"/>
                <w:bCs w:val="1"/>
                <w:sz w:val="24"/>
                <w:szCs w:val="24"/>
              </w:rPr>
              <w:t>Identificación</w:t>
            </w:r>
          </w:p>
          <w:p>
            <w:pPr>
              <w:pStyle w:val="P1"/>
              <w:jc w:val="center"/>
              <w:rPr>
                <w:b w:val="1"/>
                <w:bCs w:val="1"/>
                <w:sz w:val="24"/>
                <w:szCs w:val="24"/>
              </w:rPr>
            </w:pPr>
            <w:r>
              <w:rPr>
                <w:b w:val="1"/>
                <w:bCs w:val="1"/>
                <w:sz w:val="24"/>
                <w:szCs w:val="24"/>
              </w:rPr>
              <w:t>Nº</w:t>
            </w:r>
          </w:p>
        </w:tc>
        <w:tc>
          <w:tcPr>
            <w:tcW w:w="1417" w:type="dxa"/>
          </w:tcPr>
          <w:p>
            <w:pPr>
              <w:pStyle w:val="P1"/>
              <w:jc w:val="center"/>
              <w:rPr>
                <w:b w:val="1"/>
                <w:bCs w:val="1"/>
                <w:sz w:val="24"/>
                <w:szCs w:val="24"/>
              </w:rPr>
            </w:pPr>
            <w:r>
              <w:rPr>
                <w:b w:val="1"/>
                <w:bCs w:val="1"/>
                <w:sz w:val="24"/>
                <w:szCs w:val="24"/>
              </w:rPr>
              <w:t>Expte. N°</w:t>
            </w:r>
          </w:p>
        </w:tc>
        <w:tc>
          <w:tcPr>
            <w:tcW w:w="1418" w:type="dxa"/>
          </w:tcPr>
          <w:p>
            <w:pPr>
              <w:pStyle w:val="P1"/>
              <w:jc w:val="center"/>
              <w:rPr>
                <w:b w:val="1"/>
                <w:bCs w:val="1"/>
                <w:sz w:val="24"/>
                <w:szCs w:val="24"/>
              </w:rPr>
            </w:pPr>
            <w:r>
              <w:rPr>
                <w:b w:val="1"/>
                <w:bCs w:val="1"/>
                <w:sz w:val="24"/>
                <w:szCs w:val="24"/>
              </w:rPr>
              <w:t>% Exención</w:t>
            </w:r>
          </w:p>
        </w:tc>
        <w:tc>
          <w:tcPr>
            <w:tcW w:w="850" w:type="dxa"/>
          </w:tcPr>
          <w:p>
            <w:pPr>
              <w:pStyle w:val="P1"/>
              <w:jc w:val="center"/>
              <w:rPr>
                <w:b w:val="1"/>
                <w:bCs w:val="1"/>
              </w:rPr>
            </w:pPr>
            <w:r>
              <w:rPr>
                <w:b w:val="1"/>
                <w:bCs w:val="1"/>
              </w:rPr>
              <w:t>Desde</w:t>
            </w:r>
          </w:p>
        </w:tc>
        <w:tc>
          <w:tcPr>
            <w:tcW w:w="1961" w:type="dxa"/>
          </w:tcPr>
          <w:p>
            <w:pPr>
              <w:pStyle w:val="P1"/>
              <w:jc w:val="center"/>
              <w:rPr>
                <w:b w:val="1"/>
                <w:bCs w:val="1"/>
                <w:sz w:val="24"/>
                <w:szCs w:val="24"/>
              </w:rPr>
            </w:pPr>
            <w:r>
              <w:rPr>
                <w:b w:val="1"/>
                <w:bCs w:val="1"/>
                <w:sz w:val="24"/>
                <w:szCs w:val="24"/>
              </w:rPr>
              <w:t>Hasta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567" w:type="dxa"/>
          </w:tcPr>
          <w:p>
            <w:pPr>
              <w:pStyle w:val="P1"/>
              <w:jc w:val="center"/>
              <w:rPr>
                <w:sz w:val="24"/>
                <w:szCs w:val="24"/>
              </w:rPr>
            </w:pPr>
            <w:r>
              <w:rPr>
                <w:sz w:val="24"/>
                <w:szCs w:val="24"/>
              </w:rPr>
              <w:t>Luján, Juan Carlos</w:t>
            </w:r>
          </w:p>
        </w:tc>
        <w:tc>
          <w:tcPr>
            <w:tcW w:w="2189" w:type="dxa"/>
          </w:tcPr>
          <w:p>
            <w:pPr>
              <w:pStyle w:val="P1"/>
              <w:rPr>
                <w:sz w:val="24"/>
                <w:szCs w:val="24"/>
              </w:rPr>
            </w:pPr>
            <w:r>
              <w:rPr>
                <w:sz w:val="24"/>
                <w:szCs w:val="24"/>
              </w:rPr>
              <w:t xml:space="preserve">     6297</w:t>
            </w:r>
          </w:p>
        </w:tc>
        <w:tc>
          <w:tcPr>
            <w:tcW w:w="1417" w:type="dxa"/>
          </w:tcPr>
          <w:p>
            <w:pPr>
              <w:pStyle w:val="P1"/>
              <w:jc w:val="center"/>
              <w:rPr>
                <w:sz w:val="24"/>
                <w:szCs w:val="24"/>
              </w:rPr>
            </w:pPr>
            <w:r>
              <w:rPr>
                <w:sz w:val="24"/>
                <w:szCs w:val="24"/>
              </w:rPr>
              <w:t>1879/04</w:t>
            </w:r>
          </w:p>
        </w:tc>
        <w:tc>
          <w:tcPr>
            <w:tcW w:w="1418" w:type="dxa"/>
          </w:tcPr>
          <w:p>
            <w:pPr>
              <w:pStyle w:val="P1"/>
              <w:jc w:val="center"/>
              <w:rPr>
                <w:sz w:val="24"/>
                <w:szCs w:val="24"/>
              </w:rPr>
            </w:pPr>
            <w:r>
              <w:rPr>
                <w:sz w:val="24"/>
                <w:szCs w:val="24"/>
              </w:rPr>
              <w:t>100</w:t>
            </w:r>
          </w:p>
        </w:tc>
        <w:tc>
          <w:tcPr>
            <w:tcW w:w="850" w:type="dxa"/>
          </w:tcPr>
          <w:p>
            <w:pPr>
              <w:pStyle w:val="P1"/>
              <w:jc w:val="center"/>
              <w:rPr>
                <w:sz w:val="24"/>
                <w:szCs w:val="24"/>
              </w:rPr>
            </w:pPr>
            <w:r>
              <w:rPr>
                <w:sz w:val="24"/>
                <w:szCs w:val="24"/>
              </w:rPr>
              <w:t>-</w:t>
            </w:r>
          </w:p>
        </w:tc>
        <w:tc>
          <w:tcPr>
            <w:tcW w:w="1961" w:type="dxa"/>
          </w:tcPr>
          <w:p>
            <w:pPr>
              <w:pStyle w:val="P1"/>
              <w:jc w:val="center"/>
              <w:rPr>
                <w:sz w:val="24"/>
                <w:szCs w:val="24"/>
              </w:rPr>
            </w:pPr>
            <w:r>
              <w:rPr>
                <w:sz w:val="24"/>
                <w:szCs w:val="24"/>
              </w:rPr>
              <w:t>Diciembre de 2004</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567" w:type="dxa"/>
          </w:tcPr>
          <w:p>
            <w:pPr>
              <w:pStyle w:val="P1"/>
              <w:jc w:val="center"/>
              <w:rPr>
                <w:sz w:val="24"/>
                <w:szCs w:val="24"/>
              </w:rPr>
            </w:pPr>
            <w:r>
              <w:rPr>
                <w:sz w:val="24"/>
                <w:szCs w:val="24"/>
              </w:rPr>
              <w:t>Barrera, Juana Irma</w:t>
            </w:r>
          </w:p>
        </w:tc>
        <w:tc>
          <w:tcPr>
            <w:tcW w:w="2189" w:type="dxa"/>
          </w:tcPr>
          <w:p>
            <w:pPr>
              <w:pStyle w:val="P1"/>
              <w:jc w:val="center"/>
              <w:rPr>
                <w:sz w:val="24"/>
                <w:szCs w:val="24"/>
              </w:rPr>
            </w:pPr>
            <w:r>
              <w:rPr>
                <w:sz w:val="24"/>
                <w:szCs w:val="24"/>
              </w:rPr>
              <w:t>4772</w:t>
            </w:r>
          </w:p>
        </w:tc>
        <w:tc>
          <w:tcPr>
            <w:tcW w:w="1417" w:type="dxa"/>
          </w:tcPr>
          <w:p>
            <w:pPr>
              <w:pStyle w:val="P1"/>
              <w:jc w:val="center"/>
              <w:rPr>
                <w:sz w:val="24"/>
                <w:szCs w:val="24"/>
              </w:rPr>
            </w:pPr>
            <w:r>
              <w:rPr>
                <w:sz w:val="24"/>
                <w:szCs w:val="24"/>
              </w:rPr>
              <w:t>1198/02</w:t>
            </w:r>
          </w:p>
        </w:tc>
        <w:tc>
          <w:tcPr>
            <w:tcW w:w="1418" w:type="dxa"/>
          </w:tcPr>
          <w:p>
            <w:pPr>
              <w:pStyle w:val="P1"/>
              <w:jc w:val="center"/>
              <w:rPr>
                <w:sz w:val="24"/>
                <w:szCs w:val="24"/>
              </w:rPr>
            </w:pPr>
            <w:r>
              <w:rPr>
                <w:sz w:val="24"/>
                <w:szCs w:val="24"/>
              </w:rPr>
              <w:t>50</w:t>
            </w:r>
          </w:p>
        </w:tc>
        <w:tc>
          <w:tcPr>
            <w:tcW w:w="850" w:type="dxa"/>
          </w:tcPr>
          <w:p>
            <w:pPr>
              <w:pStyle w:val="P1"/>
              <w:jc w:val="center"/>
              <w:rPr>
                <w:sz w:val="24"/>
                <w:szCs w:val="24"/>
              </w:rPr>
            </w:pPr>
            <w:r>
              <w:rPr>
                <w:sz w:val="24"/>
                <w:szCs w:val="24"/>
              </w:rPr>
              <w:t>-</w:t>
            </w:r>
          </w:p>
        </w:tc>
        <w:tc>
          <w:tcPr>
            <w:tcW w:w="1961" w:type="dxa"/>
          </w:tcPr>
          <w:p>
            <w:pPr>
              <w:pStyle w:val="P1"/>
              <w:jc w:val="center"/>
              <w:rPr>
                <w:sz w:val="24"/>
                <w:szCs w:val="24"/>
              </w:rPr>
            </w:pPr>
            <w:r>
              <w:rPr>
                <w:sz w:val="24"/>
                <w:szCs w:val="24"/>
              </w:rPr>
              <w:t>Diciembre de 2004</w:t>
            </w:r>
          </w:p>
        </w:tc>
      </w:tr>
    </w:tbl>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EX</w:t>
      </w:r>
      <w:r>
        <w:rPr>
          <w:b w:val="1"/>
          <w:bCs w:val="1"/>
          <w:sz w:val="24"/>
          <w:szCs w:val="24"/>
        </w:rPr>
        <w:t>ÍMASE</w:t>
      </w:r>
      <w:r>
        <w:rPr>
          <w:b w:val="1"/>
          <w:bCs w:val="1"/>
          <w:sz w:val="24"/>
          <w:szCs w:val="24"/>
        </w:rPr>
        <w:t xml:space="preserve"> </w:t>
      </w:r>
      <w:r>
        <w:rPr>
          <w:sz w:val="24"/>
          <w:szCs w:val="24"/>
        </w:rPr>
        <w:t>a los titulares de las siguientes identificaciones, en los porcentajes abajo detallados, de la deuda que en concepto de Inhumación de los restos mortales mantienen con el Municipio, respecto de las identificaciones correspondientes:</w:t>
      </w:r>
    </w:p>
    <w:p>
      <w:pPr>
        <w:pStyle w:val="P1"/>
        <w:ind w:hanging="709" w:left="709"/>
        <w:jc w:val="both"/>
        <w:rPr>
          <w:b w:val="1"/>
          <w:bCs w:val="1"/>
          <w:sz w:val="24"/>
          <w:szCs w:val="24"/>
          <w:u w:val="single"/>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10"/>
        <w:gridCol w:w="10"/>
        <w:gridCol w:w="10"/>
        <w:gridCol w:w="10"/>
      </w:tblGrid>
      <w:tr>
        <w:tc>
          <w:tcPr>
            <w:tcW w:w="0" w:type="auto"/>
          </w:tcPr>
          <w:p>
            <w:pPr>
              <w:pStyle w:val="P1"/>
              <w:jc w:val="both"/>
              <w:rPr>
                <w:b w:val="1"/>
                <w:bCs w:val="1"/>
                <w:sz w:val="24"/>
                <w:szCs w:val="24"/>
              </w:rPr>
            </w:pPr>
            <w:r>
              <w:rPr>
                <w:b w:val="1"/>
                <w:bCs w:val="1"/>
                <w:sz w:val="24"/>
                <w:szCs w:val="24"/>
              </w:rPr>
              <w:t>Titular</w:t>
            </w:r>
          </w:p>
        </w:tc>
        <w:tc>
          <w:tcPr>
            <w:tcW w:w="0" w:type="auto"/>
          </w:tcPr>
          <w:p>
            <w:pPr>
              <w:pStyle w:val="P1"/>
              <w:jc w:val="both"/>
              <w:rPr>
                <w:b w:val="1"/>
                <w:bCs w:val="1"/>
                <w:sz w:val="24"/>
                <w:szCs w:val="24"/>
              </w:rPr>
            </w:pPr>
            <w:r>
              <w:rPr>
                <w:b w:val="1"/>
                <w:bCs w:val="1"/>
                <w:sz w:val="24"/>
                <w:szCs w:val="24"/>
              </w:rPr>
              <w:t>Identifica</w:t>
            </w:r>
            <w:r>
              <w:rPr>
                <w:b w:val="1"/>
                <w:bCs w:val="1"/>
                <w:sz w:val="24"/>
                <w:szCs w:val="24"/>
              </w:rPr>
              <w:t>ción Nº</w:t>
            </w:r>
          </w:p>
        </w:tc>
        <w:tc>
          <w:tcPr>
            <w:tcW w:w="0" w:type="auto"/>
          </w:tcPr>
          <w:p>
            <w:pPr>
              <w:pStyle w:val="P1"/>
              <w:jc w:val="both"/>
              <w:rPr>
                <w:b w:val="1"/>
                <w:bCs w:val="1"/>
                <w:sz w:val="24"/>
                <w:szCs w:val="24"/>
              </w:rPr>
            </w:pPr>
            <w:r>
              <w:rPr>
                <w:b w:val="1"/>
                <w:bCs w:val="1"/>
                <w:sz w:val="24"/>
                <w:szCs w:val="24"/>
              </w:rPr>
              <w:t>Expte. Nº</w:t>
            </w:r>
          </w:p>
        </w:tc>
        <w:tc>
          <w:tcPr>
            <w:tcW w:w="0" w:type="auto"/>
          </w:tcPr>
          <w:p>
            <w:pPr>
              <w:pStyle w:val="P1"/>
              <w:jc w:val="center"/>
              <w:rPr>
                <w:b w:val="1"/>
                <w:bCs w:val="1"/>
                <w:sz w:val="24"/>
                <w:szCs w:val="24"/>
              </w:rPr>
            </w:pPr>
            <w:r>
              <w:rPr>
                <w:b w:val="1"/>
                <w:bCs w:val="1"/>
                <w:sz w:val="24"/>
                <w:szCs w:val="24"/>
              </w:rPr>
              <w:t>%</w:t>
            </w:r>
          </w:p>
          <w:p>
            <w:pPr>
              <w:pStyle w:val="P1"/>
              <w:jc w:val="center"/>
              <w:rPr>
                <w:b w:val="1"/>
                <w:bCs w:val="1"/>
                <w:sz w:val="24"/>
                <w:szCs w:val="24"/>
              </w:rPr>
            </w:pPr>
            <w:r>
              <w:rPr>
                <w:b w:val="1"/>
                <w:bCs w:val="1"/>
                <w:sz w:val="24"/>
                <w:szCs w:val="24"/>
              </w:rPr>
              <w:t>Exención</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0" w:type="auto"/>
          </w:tcPr>
          <w:p>
            <w:pPr>
              <w:pStyle w:val="P1"/>
              <w:jc w:val="both"/>
              <w:rPr>
                <w:sz w:val="24"/>
                <w:szCs w:val="24"/>
              </w:rPr>
            </w:pPr>
            <w:r>
              <w:rPr>
                <w:sz w:val="24"/>
                <w:szCs w:val="24"/>
              </w:rPr>
              <w:t>Andrada, Néstor Gabriel</w:t>
            </w:r>
          </w:p>
        </w:tc>
        <w:tc>
          <w:tcPr>
            <w:tcW w:w="0" w:type="auto"/>
          </w:tcPr>
          <w:p>
            <w:pPr>
              <w:pStyle w:val="P1"/>
              <w:jc w:val="center"/>
              <w:rPr>
                <w:sz w:val="24"/>
                <w:szCs w:val="24"/>
              </w:rPr>
            </w:pPr>
            <w:r>
              <w:rPr>
                <w:sz w:val="24"/>
                <w:szCs w:val="24"/>
              </w:rPr>
              <w:t>7584</w:t>
            </w:r>
          </w:p>
        </w:tc>
        <w:tc>
          <w:tcPr>
            <w:tcW w:w="0" w:type="auto"/>
          </w:tcPr>
          <w:p>
            <w:pPr>
              <w:pStyle w:val="P1"/>
              <w:jc w:val="center"/>
              <w:rPr>
                <w:sz w:val="24"/>
                <w:szCs w:val="24"/>
              </w:rPr>
            </w:pPr>
            <w:r>
              <w:rPr>
                <w:sz w:val="24"/>
                <w:szCs w:val="24"/>
              </w:rPr>
              <w:t>606/I/04</w:t>
            </w:r>
          </w:p>
        </w:tc>
        <w:tc>
          <w:tcPr>
            <w:tcW w:w="0" w:type="auto"/>
          </w:tcPr>
          <w:p>
            <w:pPr>
              <w:pStyle w:val="P1"/>
              <w:jc w:val="both"/>
              <w:rPr>
                <w:sz w:val="24"/>
                <w:szCs w:val="24"/>
              </w:rPr>
            </w:pPr>
            <w:r>
              <w:rPr>
                <w:sz w:val="24"/>
                <w:szCs w:val="24"/>
              </w:rPr>
              <w:t>100</w:t>
            </w:r>
          </w:p>
        </w:tc>
      </w:tr>
    </w:tbl>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Art.3</w:t>
      </w:r>
      <w:r>
        <w:rPr>
          <w:b w:val="1"/>
          <w:bCs w:val="1"/>
          <w:sz w:val="24"/>
          <w:szCs w:val="24"/>
        </w:rPr>
        <w:t xml:space="preserve">: </w:t>
      </w:r>
      <w:r>
        <w:rPr>
          <w:b w:val="1"/>
          <w:bCs w:val="1"/>
          <w:sz w:val="24"/>
          <w:szCs w:val="24"/>
        </w:rPr>
        <w:t>PROTOCOL</w:t>
      </w:r>
      <w:r>
        <w:rPr>
          <w:b w:val="1"/>
          <w:bCs w:val="1"/>
          <w:sz w:val="24"/>
          <w:szCs w:val="24"/>
        </w:rPr>
        <w:t xml:space="preserve">ÍCESE, </w:t>
      </w:r>
      <w:r>
        <w:rPr>
          <w:sz w:val="24"/>
          <w:szCs w:val="24"/>
        </w:rPr>
        <w:t>comuníquese, publíquese en el Boletín Oficial de la ciudad de Alta Gracia, incorpórese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 xml:space="preserve">DADA EN LA SALA DE SESIONES DEL HONORABLE CONCEJO DELIBERANTE A </w:t>
      </w:r>
      <w:r>
        <w:rPr>
          <w:b w:val="1"/>
          <w:bCs w:val="1"/>
          <w:sz w:val="24"/>
          <w:szCs w:val="24"/>
        </w:rPr>
        <w:t>DOS</w:t>
      </w:r>
      <w:r>
        <w:rPr>
          <w:b w:val="1"/>
          <w:bCs w:val="1"/>
          <w:sz w:val="24"/>
          <w:szCs w:val="24"/>
        </w:rPr>
        <w:t xml:space="preserve"> DÍAS DEL MES DE </w:t>
      </w:r>
      <w:r>
        <w:rPr>
          <w:b w:val="1"/>
          <w:bCs w:val="1"/>
          <w:sz w:val="24"/>
          <w:szCs w:val="24"/>
        </w:rPr>
        <w:t>DICIEMBRE</w:t>
      </w:r>
      <w:r>
        <w:rPr>
          <w:b w:val="1"/>
          <w:bCs w:val="1"/>
          <w:sz w:val="24"/>
          <w:szCs w:val="24"/>
        </w:rPr>
        <w:t xml:space="preserve">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2026-07-09T19:09:46Z</dcterms:created>
  <cp:lastModifiedBy>Federico Parisi</cp:lastModifiedBy>
  <cp:lastPrinted>2004-12-28T16:01:00Z</cp:lastPrinted>
  <dcterms:modified xsi:type="dcterms:W3CDTF">2026-07-09T19:09:46Z</dcterms:modified>
  <cp:revision>2</cp:revision>
  <dc:title>1¾   «        M</dc:title>
</cp:coreProperties>
</file>