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b w:val="1"/>
          <w:bCs w:val="1"/>
          <w:sz w:val="24"/>
          <w:szCs w:val="24"/>
          <w:u w:val="single"/>
        </w:rPr>
      </w:pPr>
      <w:r>
        <w:rPr>
          <w:b w:val="1"/>
          <w:bCs w:val="1"/>
          <w:sz w:val="24"/>
          <w:szCs w:val="24"/>
          <w:u w:val="single"/>
        </w:rPr>
        <w:t>ORDENANZA Nº7133</w:t>
      </w:r>
    </w:p>
    <w:p>
      <w:pPr>
        <w:pStyle w:val="P1"/>
        <w:jc w:val="center"/>
        <w:rPr>
          <w:sz w:val="24"/>
          <w:szCs w:val="24"/>
        </w:rPr>
      </w:pPr>
      <w:r>
        <w:rPr>
          <w:b w:val="1"/>
          <w:bCs w:val="1"/>
          <w:sz w:val="24"/>
          <w:szCs w:val="24"/>
          <w:u w:val="single"/>
        </w:rPr>
        <w:t xml:space="preserve">  </w:t>
      </w:r>
    </w:p>
    <w:p>
      <w:pPr>
        <w:pStyle w:val="P1"/>
        <w:ind w:hanging="709" w:left="709"/>
        <w:jc w:val="center"/>
        <w:rPr>
          <w:sz w:val="24"/>
          <w:szCs w:val="24"/>
        </w:rPr>
      </w:pPr>
    </w:p>
    <w:p>
      <w:pPr>
        <w:pStyle w:val="P1"/>
        <w:ind w:hanging="709" w:left="709"/>
        <w:jc w:val="both"/>
        <w:rPr>
          <w:sz w:val="24"/>
          <w:szCs w:val="24"/>
        </w:rPr>
      </w:pPr>
      <w:r>
        <w:rPr>
          <w:sz w:val="24"/>
          <w:szCs w:val="24"/>
        </w:rPr>
        <w:t>Visto: El Expediente Nº 505/03; y</w:t>
      </w: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r>
        <w:rPr>
          <w:rFonts w:ascii="Courier New" w:hAnsi="Courier New"/>
        </w:rPr>
        <w:tab/>
      </w:r>
    </w:p>
    <w:p>
      <w:pPr>
        <w:pStyle w:val="P2"/>
        <w:ind w:left="0"/>
        <w:rPr>
          <w:rFonts w:ascii="Courier New" w:hAnsi="Courier New"/>
        </w:rPr>
      </w:pPr>
      <w:r>
        <w:rPr>
          <w:rFonts w:ascii="Courier New" w:hAnsi="Courier New"/>
        </w:rPr>
        <w:tab/>
      </w:r>
    </w:p>
    <w:p>
      <w:pPr>
        <w:pStyle w:val="P2"/>
        <w:ind w:left="0"/>
        <w:rPr>
          <w:rFonts w:ascii="Courier New" w:hAnsi="Courier New"/>
        </w:rPr>
      </w:pPr>
      <w:r>
        <w:rPr>
          <w:rFonts w:ascii="Courier New" w:hAnsi="Courier New"/>
        </w:rPr>
        <w:t>Que el mismo es iniciado por el Sr. Miguel del Señor Bernardo García, en el cual solicita eximición de la deuda que en concepto de Tasa por Servicios de Inspección General e Higiene, Contribuyente Nº 20295, y de Tasa por Servicios de Administración y Mantenimiento de los Cementerios por las Identificaciones Nº 559 y Nº 555, mantiene el mismo con el Municipio;</w:t>
      </w:r>
    </w:p>
    <w:p>
      <w:pPr>
        <w:pStyle w:val="P2"/>
        <w:ind w:left="0"/>
        <w:rPr>
          <w:rFonts w:ascii="Courier New" w:hAnsi="Courier New"/>
        </w:rPr>
      </w:pPr>
      <w:r>
        <w:rPr>
          <w:rFonts w:ascii="Courier New" w:hAnsi="Courier New"/>
        </w:rPr>
        <w:tab/>
      </w:r>
    </w:p>
    <w:p>
      <w:pPr>
        <w:pStyle w:val="P2"/>
        <w:ind w:hanging="709"/>
        <w:rPr>
          <w:rFonts w:ascii="Courier New" w:hAnsi="Courier New"/>
        </w:rPr>
      </w:pPr>
      <w:r>
        <w:rPr>
          <w:rFonts w:ascii="Courier New" w:hAnsi="Courier New"/>
        </w:rPr>
        <w:t xml:space="preserve">Que se trata de un grupo familiar en el que el solicitante trabaja de changas, percibiendo un monto aproximado y  variable de TRESCIENTOS PESOS ($300.-);</w:t>
      </w:r>
    </w:p>
    <w:p>
      <w:pPr>
        <w:pStyle w:val="P2"/>
        <w:ind w:hanging="1"/>
        <w:rPr>
          <w:rFonts w:ascii="Courier New" w:hAnsi="Courier New"/>
        </w:rPr>
      </w:pPr>
    </w:p>
    <w:p>
      <w:pPr>
        <w:pStyle w:val="P2"/>
        <w:ind w:hanging="1"/>
        <w:rPr>
          <w:rFonts w:ascii="Courier New" w:hAnsi="Courier New"/>
        </w:rPr>
      </w:pPr>
      <w:r>
        <w:rPr>
          <w:rFonts w:ascii="Courier New" w:hAnsi="Courier New"/>
        </w:rPr>
        <w:t>Que el taller que tenía, hoy se encuentra cerrado;</w:t>
      </w:r>
    </w:p>
    <w:p>
      <w:pPr>
        <w:pStyle w:val="P2"/>
        <w:ind w:hanging="1"/>
        <w:rPr>
          <w:rFonts w:ascii="Courier New" w:hAnsi="Courier New"/>
        </w:rPr>
      </w:pPr>
    </w:p>
    <w:p>
      <w:pPr>
        <w:pStyle w:val="P2"/>
        <w:ind w:hanging="1"/>
        <w:rPr>
          <w:rFonts w:ascii="Courier New" w:hAnsi="Courier New"/>
        </w:rPr>
      </w:pPr>
      <w:r>
        <w:rPr>
          <w:rFonts w:ascii="Courier New" w:hAnsi="Courier New"/>
        </w:rPr>
        <w:t>Que su vivienda es utilizada por tres miembros de la familia, todos ellos con problemas de salud y desocupados;</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la Comisión de Hacienda, la misma emite despacho accediendo a lo solicitado, despacho aprobado por unanimidad en Sesión Ordinaria de fecha 02 de diciembre de 2004.   </w:t>
      </w:r>
    </w:p>
    <w:p>
      <w:pPr>
        <w:pStyle w:val="P2"/>
        <w:ind w:hanging="1"/>
        <w:rPr>
          <w:rFonts w:ascii="Courier New" w:hAnsi="Courier New"/>
        </w:rPr>
      </w:pPr>
    </w:p>
    <w:p>
      <w:pPr>
        <w:pStyle w:val="P2"/>
        <w:ind w:hanging="1"/>
        <w:rPr>
          <w:rFonts w:ascii="Courier New" w:hAnsi="Courier New"/>
        </w:rPr>
      </w:pPr>
    </w:p>
    <w:p>
      <w:pPr>
        <w:pStyle w:val="P1"/>
        <w:ind w:firstLine="1" w:left="708"/>
        <w:rPr>
          <w:b w:val="1"/>
          <w:bCs w:val="1"/>
          <w:sz w:val="24"/>
          <w:szCs w:val="24"/>
        </w:rPr>
      </w:pPr>
      <w:r>
        <w:rPr>
          <w:sz w:val="24"/>
          <w:szCs w:val="24"/>
        </w:rPr>
        <w:t xml:space="preserve">    </w:t>
      </w: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REAL</w:t>
      </w:r>
      <w:r>
        <w:rPr>
          <w:b w:val="1"/>
          <w:bCs w:val="1"/>
          <w:sz w:val="24"/>
          <w:szCs w:val="24"/>
        </w:rPr>
        <w:t>ÍCESE</w:t>
      </w:r>
      <w:r>
        <w:rPr>
          <w:b w:val="1"/>
          <w:bCs w:val="1"/>
          <w:sz w:val="24"/>
          <w:szCs w:val="24"/>
        </w:rPr>
        <w:t xml:space="preserve"> </w:t>
      </w:r>
      <w:r>
        <w:rPr>
          <w:sz w:val="24"/>
          <w:szCs w:val="24"/>
        </w:rPr>
        <w:t>Plan de Pagos al Sr. Miguel del Señor Bernardo García, L.E. Nº 6.444.123, por la suma de la deuda que en concepto de Tasa por Servicios de Administración y Mantenimiento los Cementerios mantiene con el Municipio, respecto de las identificaciones Nº 559 y Nº 555, en cuotas de VEINTE PESOS ($20.-) por los períodos no prescriptos y desde la promulgación de la presente Ordenanza hasta completar el monto de la deuda.</w:t>
      </w:r>
    </w:p>
    <w:p>
      <w:pPr>
        <w:pStyle w:val="P1"/>
        <w:ind w:hanging="709" w:left="709"/>
        <w:jc w:val="right"/>
        <w:rPr>
          <w:sz w:val="24"/>
          <w:szCs w:val="24"/>
        </w:rPr>
      </w:pPr>
      <w:r>
        <w:rPr>
          <w:sz w:val="24"/>
          <w:szCs w:val="24"/>
        </w:rPr>
        <w:t>...///</w:t>
      </w:r>
    </w:p>
    <w:p>
      <w:pPr>
        <w:pStyle w:val="P1"/>
        <w:ind w:hanging="709" w:left="709"/>
        <w:jc w:val="right"/>
        <w:rPr>
          <w:sz w:val="24"/>
          <w:szCs w:val="24"/>
        </w:rPr>
      </w:pPr>
    </w:p>
    <w:p>
      <w:pPr>
        <w:pStyle w:val="P1"/>
        <w:ind w:hanging="709" w:left="709"/>
        <w:jc w:val="right"/>
        <w:rPr>
          <w:sz w:val="24"/>
          <w:szCs w:val="24"/>
        </w:rPr>
      </w:pPr>
    </w:p>
    <w:p>
      <w:pPr>
        <w:pStyle w:val="P1"/>
        <w:jc w:val="both"/>
        <w:rPr>
          <w:b w:val="1"/>
          <w:bCs w:val="1"/>
          <w:sz w:val="24"/>
          <w:szCs w:val="24"/>
          <w:u w:val="single"/>
        </w:rPr>
      </w:pPr>
    </w:p>
    <w:p>
      <w:pPr>
        <w:pStyle w:val="P1"/>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DÉJESE</w:t>
      </w:r>
      <w:r>
        <w:rPr>
          <w:b w:val="1"/>
          <w:bCs w:val="1"/>
          <w:sz w:val="24"/>
          <w:szCs w:val="24"/>
        </w:rPr>
        <w:t xml:space="preserve"> </w:t>
      </w:r>
      <w:r>
        <w:rPr>
          <w:sz w:val="24"/>
          <w:szCs w:val="24"/>
        </w:rPr>
        <w:t xml:space="preserve">a la deuda de Tasa por Servicios de  Inspección General e Higiene, Comercio Legajo Nº 4771, que continúe en estado extrajudicial por los períodos no prescriptos sin demanda legal, condicionando y manteniendo este estado al cumplimiento puntual de los Planes de Pago que en concepto de Tasa por Servicios a la Propiedad y de Tasa por Servicios de Administración y Mantenimiento de los Cementerios, realice el solicitante.  </w:t>
      </w:r>
    </w:p>
    <w:p>
      <w:pPr>
        <w:pStyle w:val="P1"/>
        <w:rPr>
          <w:sz w:val="24"/>
          <w:szCs w:val="24"/>
        </w:rPr>
      </w:pPr>
    </w:p>
    <w:p>
      <w:pPr>
        <w:pStyle w:val="P1"/>
        <w:ind w:hanging="709" w:left="709"/>
        <w:jc w:val="both"/>
        <w:rPr>
          <w:sz w:val="24"/>
          <w:szCs w:val="24"/>
        </w:rPr>
      </w:pPr>
      <w:r>
        <w:rPr>
          <w:b w:val="1"/>
          <w:bCs w:val="1"/>
          <w:sz w:val="24"/>
          <w:szCs w:val="24"/>
          <w:u w:val="single"/>
        </w:rPr>
        <w:t>Art.3</w:t>
      </w:r>
      <w:r>
        <w:rPr>
          <w:b w:val="1"/>
          <w:bCs w:val="1"/>
          <w:sz w:val="24"/>
          <w:szCs w:val="24"/>
        </w:rPr>
        <w:t xml:space="preserve">: </w:t>
      </w:r>
      <w:r>
        <w:rPr>
          <w:b w:val="1"/>
          <w:bCs w:val="1"/>
          <w:sz w:val="24"/>
          <w:szCs w:val="24"/>
        </w:rPr>
        <w:t>REAL</w:t>
      </w:r>
      <w:r>
        <w:rPr>
          <w:b w:val="1"/>
          <w:bCs w:val="1"/>
          <w:sz w:val="24"/>
          <w:szCs w:val="24"/>
        </w:rPr>
        <w:t>ÍCESE</w:t>
      </w:r>
      <w:r>
        <w:rPr>
          <w:b w:val="1"/>
          <w:bCs w:val="1"/>
          <w:sz w:val="24"/>
          <w:szCs w:val="24"/>
        </w:rPr>
        <w:t xml:space="preserve"> </w:t>
      </w:r>
      <w:r>
        <w:rPr>
          <w:sz w:val="24"/>
          <w:szCs w:val="24"/>
        </w:rPr>
        <w:t>nuevo estudio socioeconómico en agosto de 2005, y si su situación no hubiere variado, y si el cumplimiento de sus Planes ha sido satisfactorio, considerar en ese momento la eximición de la deuda de Comercio, todo esto en un todo de acuerdo a lo sugerido por la Dirección de Ingresos Públicos a fs. 42 del Expediente Nº 505/03.</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Art.4</w:t>
      </w:r>
      <w:r>
        <w:rPr>
          <w:b w:val="1"/>
          <w:bCs w:val="1"/>
          <w:sz w:val="24"/>
          <w:szCs w:val="24"/>
        </w:rPr>
        <w:t xml:space="preserve">: </w:t>
      </w:r>
      <w:r>
        <w:rPr>
          <w:b w:val="1"/>
          <w:bCs w:val="1"/>
          <w:sz w:val="24"/>
          <w:szCs w:val="24"/>
        </w:rPr>
        <w:t>PROTOCOLÍCESE,</w:t>
      </w:r>
      <w:r>
        <w:rPr>
          <w:sz w:val="24"/>
          <w:szCs w:val="24"/>
        </w:rPr>
        <w:t xml:space="preserve"> publíquese en el Boletín Oficial de la ciudad de Alta Gracia, incorpórese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DOS DÍAS DEL MES DE DICIEMBRE DEL AÑO DOS MIL CUATRO.</w:t>
      </w:r>
    </w:p>
    <w:sectPr>
      <w:type w:val="nextPage"/>
      <w:pgSz w:w="11907" w:h="16840" w:code="0"/>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2026-07-09T19:09:30Z</dcterms:created>
  <cp:lastModifiedBy>Federico Parisi</cp:lastModifiedBy>
  <cp:lastPrinted>2004-12-29T15:09:00Z</cp:lastPrinted>
  <dcterms:modified xsi:type="dcterms:W3CDTF">2026-07-09T19:09:30Z</dcterms:modified>
  <cp:revision>2</cp:revision>
  <dc:title>1¾   «        M</dc:title>
</cp:coreProperties>
</file>