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  <w:ind w:hanging="709" w:left="709"/>
        <w:jc w:val="center"/>
        <w:rPr>
          <w:sz w:val="24"/>
          <w:szCs w:val="24"/>
        </w:rPr>
      </w:pPr>
    </w:p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  <w:r>
        <w:rPr>
          <w:b w:val="1"/>
          <w:bCs w:val="1"/>
          <w:sz w:val="24"/>
          <w:szCs w:val="24"/>
          <w:u w:val="single"/>
        </w:rPr>
        <w:t>ORDENANZA Nº 7421</w:t>
      </w:r>
    </w:p>
    <w:p>
      <w:pPr>
        <w:pStyle w:val="P1"/>
        <w:jc w:val="center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 xml:space="preserve">  </w:t>
      </w:r>
    </w:p>
    <w:p>
      <w:pPr>
        <w:pStyle w:val="P1"/>
        <w:ind w:hanging="709" w:left="709"/>
        <w:jc w:val="center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Visto: Los Expedientes Nº 1028/02 y 1684/03 donde se solicita exención de Tasa por Servicios a la Propiedad; y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</w:t>
      </w: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 C O N S I D E R A N D O</w:t>
      </w:r>
    </w:p>
    <w:p>
      <w:pPr>
        <w:pStyle w:val="P2"/>
        <w:ind w:left="0"/>
        <w:rPr>
          <w:rFonts w:ascii="Courier New" w:hAnsi="Courier New"/>
        </w:rPr>
      </w:pPr>
    </w:p>
    <w:p>
      <w:pPr>
        <w:pStyle w:val="P2"/>
        <w:ind w:left="0"/>
        <w:rPr>
          <w:rFonts w:ascii="Courier New" w:hAnsi="Courier New"/>
        </w:rPr>
      </w:pPr>
      <w:r>
        <w:rPr>
          <w:rFonts w:ascii="Courier New" w:hAnsi="Courier New"/>
        </w:rPr>
        <w:tab/>
      </w:r>
    </w:p>
    <w:p>
      <w:pPr>
        <w:pStyle w:val="P2"/>
        <w:ind w:hanging="709"/>
        <w:rPr>
          <w:rFonts w:ascii="Courier New" w:hAnsi="Courier New"/>
        </w:rPr>
      </w:pPr>
      <w:r>
        <w:rPr>
          <w:rFonts w:ascii="Courier New" w:hAnsi="Courier New"/>
        </w:rPr>
        <w:tab/>
        <w:t>Que se trata de solicitudes de exenciones para diferentes vecinos de nuestra ciudad;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los respectivos estudios socioeconómicos informan que se trata de familias que atraviesan difíciles situaciones que determinan la imposibilidad de hacer frente a muchas necesidades básicas,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Que, generalmente, realizan trabajos inestables para poder lograr su subsistencia mínima;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generalmente, presentan importantes problemas de salud con tratamiento permanente y gastos en medicamentos que le impiden afrontar las deudas contraídas;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a través de las respectivas oficinas municipales se cumplimentaron los informes necesarios a los efectos de hacer posibles las exenciones solicitadas;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evaluado el contenido de cada uno de los Expedientes mencionados y de la nota por Comisión de Hacienda, la misma emite despacho de conformidad a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</w:rPr>
        <w:t xml:space="preserve">las Ordenanzas vigentes, despacho aprobado por unanimidad en Sesión Ordinaria de fecha 30 de marzo de 2006.   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firstLine="708" w:left="708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EL HONORABLE CONCEJO DELIBERANTE DE LA CIUDAD DE</w:t>
      </w: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1416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ALTA GRACIA SANCIONA CON FUERZA DE ORDENANZA</w:t>
      </w:r>
    </w:p>
    <w:p>
      <w:pPr>
        <w:pStyle w:val="P1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right"/>
        <w:rPr>
          <w:sz w:val="24"/>
          <w:szCs w:val="24"/>
        </w:rPr>
      </w:pPr>
      <w:r>
        <w:rPr>
          <w:sz w:val="24"/>
          <w:szCs w:val="24"/>
        </w:rPr>
        <w:t>...///</w:t>
      </w:r>
    </w:p>
    <w:p>
      <w:pPr>
        <w:pStyle w:val="P1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  <w:r>
        <w:rPr>
          <w:sz w:val="24"/>
          <w:szCs w:val="24"/>
        </w:rPr>
        <w:t>...///2.-</w:t>
      </w:r>
    </w:p>
    <w:p>
      <w:pPr>
        <w:pStyle w:val="P1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</w:t>
      </w:r>
      <w:r>
        <w:rPr>
          <w:b w:val="1"/>
          <w:bCs w:val="1"/>
          <w:sz w:val="24"/>
          <w:szCs w:val="24"/>
          <w:u w:val="single"/>
        </w:rPr>
        <w:t>1</w:t>
      </w:r>
      <w:r>
        <w:rPr>
          <w:b w:val="1"/>
          <w:bCs w:val="1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>OTÓRGUESE</w:t>
      </w:r>
      <w:r>
        <w:rPr>
          <w:sz w:val="24"/>
          <w:szCs w:val="24"/>
        </w:rPr>
        <w:t xml:space="preserve"> el beneficio de la Ordenanza 5485, Art.3 a los propietarios de los siguientes inmuebles fijando los montos a abonar que se detallan a continuación, en concepto de Tasa por Servicios a la Propiedad de las correspondientes designaciones catastrales:</w:t>
      </w:r>
    </w:p>
    <w:p>
      <w:pPr>
        <w:pStyle w:val="P1"/>
        <w:rPr>
          <w:sz w:val="24"/>
          <w:szCs w:val="24"/>
        </w:rPr>
      </w:pPr>
    </w:p>
    <w:tbl>
      <w:tblPr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7"/>
        <w:gridCol w:w="2047"/>
        <w:gridCol w:w="1559"/>
        <w:gridCol w:w="1276"/>
        <w:gridCol w:w="1985"/>
        <w:gridCol w:w="968"/>
      </w:tblGrid>
      <w:tr>
        <w:tc>
          <w:tcPr>
            <w:tcW w:w="1567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Titular</w:t>
            </w:r>
          </w:p>
        </w:tc>
        <w:tc>
          <w:tcPr>
            <w:tcW w:w="2047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Designación Catast.</w:t>
            </w:r>
          </w:p>
        </w:tc>
        <w:tc>
          <w:tcPr>
            <w:tcW w:w="1559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Expte. N°</w:t>
            </w:r>
          </w:p>
        </w:tc>
        <w:tc>
          <w:tcPr>
            <w:tcW w:w="1276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Cuota mensual</w:t>
            </w:r>
          </w:p>
        </w:tc>
        <w:tc>
          <w:tcPr>
            <w:tcW w:w="1985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Desde</w:t>
            </w:r>
          </w:p>
        </w:tc>
        <w:tc>
          <w:tcPr>
            <w:tcW w:w="968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Hasta</w:t>
            </w:r>
          </w:p>
        </w:tc>
      </w:tr>
      <w:tr>
        <w:tblPrEx>
          <w:tblBorders>
            <w:top w:val="single" w:sz="4" w:space="0" w:shadow="0" w:frame="0" w:color="auto"/>
            <w:left w:val="single" w:sz="4" w:space="0" w:shadow="0" w:frame="0" w:color="auto"/>
            <w:bottom w:val="single" w:sz="4" w:space="0" w:shadow="0" w:frame="0" w:color="auto"/>
            <w:right w:val="single" w:sz="4" w:space="0" w:shadow="0" w:frame="0" w:color="auto"/>
            <w:insideH w:val="single" w:sz="4" w:space="0" w:shadow="0" w:frame="0" w:color="auto"/>
            <w:insideV w:val="single" w:sz="4" w:space="0" w:shadow="0" w:frame="0" w:color="auto"/>
          </w:tblBorders>
          <w:tblLayout w:type="fixed"/>
        </w:tblPrEx>
        <w:tc>
          <w:tcPr>
            <w:tcW w:w="1567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Loyola, Héctor Antonio</w:t>
            </w:r>
          </w:p>
        </w:tc>
        <w:tc>
          <w:tcPr>
            <w:tcW w:w="2047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3-01-013-021-000</w:t>
            </w:r>
          </w:p>
        </w:tc>
        <w:tc>
          <w:tcPr>
            <w:tcW w:w="1559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1028/02</w:t>
            </w:r>
          </w:p>
        </w:tc>
        <w:tc>
          <w:tcPr>
            <w:tcW w:w="1276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$5.-</w:t>
            </w:r>
          </w:p>
        </w:tc>
        <w:tc>
          <w:tcPr>
            <w:tcW w:w="1985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Ene. 2005</w:t>
            </w:r>
          </w:p>
        </w:tc>
        <w:tc>
          <w:tcPr>
            <w:tcW w:w="968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Feb. 2007 inclusive</w:t>
            </w:r>
          </w:p>
        </w:tc>
      </w:tr>
      <w:tr>
        <w:tblPrEx>
          <w:tblBorders>
            <w:top w:val="single" w:sz="4" w:space="0" w:shadow="0" w:frame="0" w:color="auto"/>
            <w:left w:val="single" w:sz="4" w:space="0" w:shadow="0" w:frame="0" w:color="auto"/>
            <w:bottom w:val="single" w:sz="4" w:space="0" w:shadow="0" w:frame="0" w:color="auto"/>
            <w:right w:val="single" w:sz="4" w:space="0" w:shadow="0" w:frame="0" w:color="auto"/>
            <w:insideH w:val="single" w:sz="4" w:space="0" w:shadow="0" w:frame="0" w:color="auto"/>
            <w:insideV w:val="single" w:sz="4" w:space="0" w:shadow="0" w:frame="0" w:color="auto"/>
          </w:tblBorders>
          <w:tblLayout w:type="fixed"/>
        </w:tblPrEx>
        <w:tc>
          <w:tcPr>
            <w:tcW w:w="1567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Seguel, Raúl y Herrera, Dora O.</w:t>
            </w:r>
          </w:p>
        </w:tc>
        <w:tc>
          <w:tcPr>
            <w:tcW w:w="2047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3-01-062-010-000</w:t>
            </w:r>
          </w:p>
        </w:tc>
        <w:tc>
          <w:tcPr>
            <w:tcW w:w="1559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1684/03</w:t>
            </w:r>
          </w:p>
        </w:tc>
        <w:tc>
          <w:tcPr>
            <w:tcW w:w="1276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$3.-</w:t>
            </w:r>
          </w:p>
        </w:tc>
        <w:tc>
          <w:tcPr>
            <w:tcW w:w="1985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t xml:space="preserve">La promulgación </w:t>
            </w:r>
          </w:p>
        </w:tc>
        <w:tc>
          <w:tcPr>
            <w:tcW w:w="968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Dic. 2007 inclusive</w:t>
            </w:r>
          </w:p>
        </w:tc>
      </w:tr>
    </w:tbl>
    <w:p>
      <w:pPr>
        <w:pStyle w:val="P1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</w:t>
      </w:r>
      <w:r>
        <w:rPr>
          <w:b w:val="1"/>
          <w:bCs w:val="1"/>
          <w:sz w:val="24"/>
          <w:szCs w:val="24"/>
          <w:u w:val="single"/>
        </w:rPr>
        <w:t>2</w:t>
      </w:r>
      <w:r>
        <w:rPr>
          <w:b w:val="1"/>
          <w:bCs w:val="1"/>
          <w:sz w:val="24"/>
          <w:szCs w:val="24"/>
        </w:rPr>
        <w:t xml:space="preserve">: </w:t>
      </w:r>
      <w:r>
        <w:rPr>
          <w:b w:val="1"/>
          <w:bCs w:val="1"/>
          <w:sz w:val="24"/>
          <w:szCs w:val="24"/>
        </w:rPr>
        <w:t xml:space="preserve">EXÍMASE </w:t>
      </w:r>
      <w:r>
        <w:rPr>
          <w:sz w:val="24"/>
          <w:szCs w:val="24"/>
        </w:rPr>
        <w:t>por cada 5 cuotas abonadas en término igual cantidad de cuotas de la deuda anterior, a los propietarios de los siguientes inmuebles que se detallan a continuación: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tbl>
      <w:tblPr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35"/>
        <w:gridCol w:w="3135"/>
        <w:gridCol w:w="3135"/>
      </w:tblGrid>
      <w:tr>
        <w:tc>
          <w:tcPr>
            <w:tcW w:w="3135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Titular</w:t>
            </w:r>
          </w:p>
        </w:tc>
        <w:tc>
          <w:tcPr>
            <w:tcW w:w="3135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Designación Catast.</w:t>
            </w:r>
          </w:p>
        </w:tc>
        <w:tc>
          <w:tcPr>
            <w:tcW w:w="3135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Expte N°</w:t>
            </w:r>
          </w:p>
        </w:tc>
      </w:tr>
      <w:tr>
        <w:tblPrEx>
          <w:tblBorders>
            <w:top w:val="single" w:sz="4" w:space="0" w:shadow="0" w:frame="0" w:color="auto"/>
            <w:left w:val="single" w:sz="4" w:space="0" w:shadow="0" w:frame="0" w:color="auto"/>
            <w:bottom w:val="single" w:sz="4" w:space="0" w:shadow="0" w:frame="0" w:color="auto"/>
            <w:right w:val="single" w:sz="4" w:space="0" w:shadow="0" w:frame="0" w:color="auto"/>
            <w:insideH w:val="single" w:sz="4" w:space="0" w:shadow="0" w:frame="0" w:color="auto"/>
            <w:insideV w:val="single" w:sz="4" w:space="0" w:shadow="0" w:frame="0" w:color="auto"/>
          </w:tblBorders>
          <w:tblLayout w:type="fixed"/>
        </w:tblPrEx>
        <w:tc>
          <w:tcPr>
            <w:tcW w:w="3135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Loyola, Héctor Antonio</w:t>
            </w:r>
          </w:p>
        </w:tc>
        <w:tc>
          <w:tcPr>
            <w:tcW w:w="3135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3-01-013-021-000</w:t>
            </w:r>
          </w:p>
        </w:tc>
        <w:tc>
          <w:tcPr>
            <w:tcW w:w="3135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1028/02</w:t>
            </w:r>
          </w:p>
        </w:tc>
      </w:tr>
    </w:tbl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</w:t>
      </w:r>
      <w:r>
        <w:rPr>
          <w:b w:val="1"/>
          <w:bCs w:val="1"/>
          <w:sz w:val="24"/>
          <w:szCs w:val="24"/>
          <w:u w:val="single"/>
        </w:rPr>
        <w:t>3</w:t>
      </w:r>
      <w:r>
        <w:rPr>
          <w:b w:val="1"/>
          <w:bCs w:val="1"/>
          <w:sz w:val="24"/>
          <w:szCs w:val="24"/>
        </w:rPr>
        <w:t xml:space="preserve">: </w:t>
      </w:r>
      <w:r>
        <w:rPr>
          <w:b w:val="1"/>
          <w:bCs w:val="1"/>
          <w:sz w:val="24"/>
          <w:szCs w:val="24"/>
        </w:rPr>
        <w:t xml:space="preserve">EXÍMASE </w:t>
      </w:r>
      <w:r>
        <w:rPr>
          <w:sz w:val="24"/>
          <w:szCs w:val="24"/>
        </w:rPr>
        <w:t>por cada 12 cuotas abonadas en término igual cantidad de cuotas de la deuda anterior, a los propietarios de los siguientes inmuebles que se detallan a continuación: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tbl>
      <w:tblPr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35"/>
        <w:gridCol w:w="3135"/>
        <w:gridCol w:w="3135"/>
      </w:tblGrid>
      <w:tr>
        <w:tc>
          <w:tcPr>
            <w:tcW w:w="3135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Titular</w:t>
            </w:r>
          </w:p>
        </w:tc>
        <w:tc>
          <w:tcPr>
            <w:tcW w:w="3135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Designación Catast.</w:t>
            </w:r>
          </w:p>
        </w:tc>
        <w:tc>
          <w:tcPr>
            <w:tcW w:w="3135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Expte N°</w:t>
            </w:r>
          </w:p>
        </w:tc>
      </w:tr>
      <w:tr>
        <w:tblPrEx>
          <w:tblBorders>
            <w:top w:val="single" w:sz="4" w:space="0" w:shadow="0" w:frame="0" w:color="auto"/>
            <w:left w:val="single" w:sz="4" w:space="0" w:shadow="0" w:frame="0" w:color="auto"/>
            <w:bottom w:val="single" w:sz="4" w:space="0" w:shadow="0" w:frame="0" w:color="auto"/>
            <w:right w:val="single" w:sz="4" w:space="0" w:shadow="0" w:frame="0" w:color="auto"/>
            <w:insideH w:val="single" w:sz="4" w:space="0" w:shadow="0" w:frame="0" w:color="auto"/>
            <w:insideV w:val="single" w:sz="4" w:space="0" w:shadow="0" w:frame="0" w:color="auto"/>
          </w:tblBorders>
          <w:tblLayout w:type="fixed"/>
        </w:tblPrEx>
        <w:tc>
          <w:tcPr>
            <w:tcW w:w="3135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Seguel, Raúl y Herrera, Dora O.</w:t>
            </w:r>
          </w:p>
        </w:tc>
        <w:tc>
          <w:tcPr>
            <w:tcW w:w="3135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3-01-062-010-000</w:t>
            </w:r>
          </w:p>
        </w:tc>
        <w:tc>
          <w:tcPr>
            <w:tcW w:w="3135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1684/03</w:t>
            </w:r>
          </w:p>
        </w:tc>
      </w:tr>
    </w:tbl>
    <w:p>
      <w:pPr>
        <w:pStyle w:val="P1"/>
        <w:ind w:hanging="709" w:left="709"/>
        <w:jc w:val="both"/>
        <w:rPr>
          <w:b w:val="1"/>
          <w:bCs w:val="1"/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</w:t>
      </w:r>
      <w:r>
        <w:rPr>
          <w:b w:val="1"/>
          <w:bCs w:val="1"/>
          <w:sz w:val="24"/>
          <w:szCs w:val="24"/>
          <w:u w:val="single"/>
        </w:rPr>
        <w:t>4</w:t>
      </w:r>
      <w:r>
        <w:rPr>
          <w:b w:val="1"/>
          <w:bCs w:val="1"/>
          <w:sz w:val="24"/>
          <w:szCs w:val="24"/>
        </w:rPr>
        <w:t xml:space="preserve">: </w:t>
      </w:r>
      <w:r>
        <w:rPr>
          <w:b w:val="1"/>
          <w:bCs w:val="1"/>
          <w:sz w:val="24"/>
          <w:szCs w:val="24"/>
        </w:rPr>
        <w:t xml:space="preserve">CADÚQUESE </w:t>
      </w:r>
      <w:r>
        <w:rPr>
          <w:sz w:val="24"/>
          <w:szCs w:val="24"/>
        </w:rPr>
        <w:t>en forma inmediata los beneficios otorgados en los artículos 2, 3 y 4 de la presente, en</w:t>
      </w:r>
      <w:r>
        <w:rPr>
          <w:b w:val="1"/>
          <w:bCs w:val="1"/>
          <w:sz w:val="24"/>
          <w:szCs w:val="24"/>
        </w:rPr>
        <w:t xml:space="preserve"> </w:t>
      </w:r>
      <w:r>
        <w:rPr>
          <w:sz w:val="24"/>
          <w:szCs w:val="24"/>
        </w:rPr>
        <w:t>caso de transferencia de los inmuebles de las designaciones catastrales correspondientes o variaciones en las situaciones socioeconómicas, para los propietarios de los siguientes inmuebles: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right"/>
        <w:rPr>
          <w:sz w:val="24"/>
          <w:szCs w:val="24"/>
        </w:rPr>
      </w:pPr>
      <w:r>
        <w:rPr>
          <w:sz w:val="24"/>
          <w:szCs w:val="24"/>
        </w:rPr>
        <w:t>...///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...///3.-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tbl>
      <w:tblPr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35"/>
        <w:gridCol w:w="3135"/>
        <w:gridCol w:w="3135"/>
      </w:tblGrid>
      <w:tr>
        <w:tc>
          <w:tcPr>
            <w:tcW w:w="3135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Titular</w:t>
            </w:r>
          </w:p>
        </w:tc>
        <w:tc>
          <w:tcPr>
            <w:tcW w:w="3135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Designación Catast.</w:t>
            </w:r>
          </w:p>
        </w:tc>
        <w:tc>
          <w:tcPr>
            <w:tcW w:w="3135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Expte N°</w:t>
            </w:r>
          </w:p>
        </w:tc>
      </w:tr>
      <w:tr>
        <w:tblPrEx>
          <w:tblBorders>
            <w:top w:val="single" w:sz="4" w:space="0" w:shadow="0" w:frame="0" w:color="auto"/>
            <w:left w:val="single" w:sz="4" w:space="0" w:shadow="0" w:frame="0" w:color="auto"/>
            <w:bottom w:val="single" w:sz="4" w:space="0" w:shadow="0" w:frame="0" w:color="auto"/>
            <w:right w:val="single" w:sz="4" w:space="0" w:shadow="0" w:frame="0" w:color="auto"/>
            <w:insideH w:val="single" w:sz="4" w:space="0" w:shadow="0" w:frame="0" w:color="auto"/>
            <w:insideV w:val="single" w:sz="4" w:space="0" w:shadow="0" w:frame="0" w:color="auto"/>
          </w:tblBorders>
          <w:tblLayout w:type="fixed"/>
        </w:tblPrEx>
        <w:tc>
          <w:tcPr>
            <w:tcW w:w="3135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Loyola, Héctor Antonio</w:t>
            </w:r>
          </w:p>
        </w:tc>
        <w:tc>
          <w:tcPr>
            <w:tcW w:w="3135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3-01-013-021-000</w:t>
            </w:r>
          </w:p>
        </w:tc>
        <w:tc>
          <w:tcPr>
            <w:tcW w:w="3135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1028/02</w:t>
            </w:r>
          </w:p>
        </w:tc>
      </w:tr>
      <w:tr>
        <w:tblPrEx>
          <w:tblBorders>
            <w:top w:val="single" w:sz="4" w:space="0" w:shadow="0" w:frame="0" w:color="auto"/>
            <w:left w:val="single" w:sz="4" w:space="0" w:shadow="0" w:frame="0" w:color="auto"/>
            <w:bottom w:val="single" w:sz="4" w:space="0" w:shadow="0" w:frame="0" w:color="auto"/>
            <w:right w:val="single" w:sz="4" w:space="0" w:shadow="0" w:frame="0" w:color="auto"/>
            <w:insideH w:val="single" w:sz="4" w:space="0" w:shadow="0" w:frame="0" w:color="auto"/>
            <w:insideV w:val="single" w:sz="4" w:space="0" w:shadow="0" w:frame="0" w:color="auto"/>
          </w:tblBorders>
          <w:tblLayout w:type="fixed"/>
        </w:tblPrEx>
        <w:tc>
          <w:tcPr>
            <w:tcW w:w="3135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Seguel, Raúl y Herrera, Dora O.</w:t>
            </w:r>
          </w:p>
        </w:tc>
        <w:tc>
          <w:tcPr>
            <w:tcW w:w="3135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3-01-062-010-000</w:t>
            </w:r>
          </w:p>
        </w:tc>
        <w:tc>
          <w:tcPr>
            <w:tcW w:w="3135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1684/03</w:t>
            </w:r>
          </w:p>
        </w:tc>
      </w:tr>
    </w:tbl>
    <w:p>
      <w:pPr>
        <w:pStyle w:val="P1"/>
        <w:ind w:hanging="709" w:left="709"/>
        <w:jc w:val="both"/>
        <w:rPr>
          <w:b w:val="1"/>
          <w:bCs w:val="1"/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Art.5: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 xml:space="preserve">SOLICITAR </w:t>
      </w:r>
      <w:r>
        <w:rPr>
          <w:sz w:val="24"/>
          <w:szCs w:val="24"/>
        </w:rPr>
        <w:t>al Sr. Intendente que interceda ante los Procuradores actuantes a los fines de dejar sin efecto los juicios iniciados a los propietarios de los siguientes inmuebles respecto de los correspondientes años que se detallan a continuación de: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tbl>
      <w:tblPr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51"/>
        <w:gridCol w:w="2681"/>
        <w:gridCol w:w="2268"/>
        <w:gridCol w:w="2104"/>
      </w:tblGrid>
      <w:tr>
        <w:tc>
          <w:tcPr>
            <w:tcW w:w="2351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Titular</w:t>
            </w:r>
          </w:p>
        </w:tc>
        <w:tc>
          <w:tcPr>
            <w:tcW w:w="2681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Designación Catast.</w:t>
            </w:r>
          </w:p>
        </w:tc>
        <w:tc>
          <w:tcPr>
            <w:tcW w:w="2268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Expte. N°</w:t>
            </w:r>
          </w:p>
        </w:tc>
        <w:tc>
          <w:tcPr>
            <w:tcW w:w="2104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Deuda de los años</w:t>
            </w:r>
          </w:p>
        </w:tc>
      </w:tr>
      <w:tr>
        <w:tblPrEx>
          <w:tblBorders>
            <w:top w:val="single" w:sz="4" w:space="0" w:shadow="0" w:frame="0" w:color="auto"/>
            <w:left w:val="single" w:sz="4" w:space="0" w:shadow="0" w:frame="0" w:color="auto"/>
            <w:bottom w:val="single" w:sz="4" w:space="0" w:shadow="0" w:frame="0" w:color="auto"/>
            <w:right w:val="single" w:sz="4" w:space="0" w:shadow="0" w:frame="0" w:color="auto"/>
            <w:insideH w:val="single" w:sz="4" w:space="0" w:shadow="0" w:frame="0" w:color="auto"/>
            <w:insideV w:val="single" w:sz="4" w:space="0" w:shadow="0" w:frame="0" w:color="auto"/>
          </w:tblBorders>
          <w:tblLayout w:type="fixed"/>
        </w:tblPrEx>
        <w:tc>
          <w:tcPr>
            <w:tcW w:w="2351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Seguel, Raúl y Herrera, Dora O.</w:t>
            </w:r>
          </w:p>
        </w:tc>
        <w:tc>
          <w:tcPr>
            <w:tcW w:w="2681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3-01-062-010-000</w:t>
            </w:r>
          </w:p>
        </w:tc>
        <w:tc>
          <w:tcPr>
            <w:tcW w:w="2268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1684/03</w:t>
            </w:r>
          </w:p>
        </w:tc>
        <w:tc>
          <w:tcPr>
            <w:tcW w:w="2104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-</w:t>
            </w:r>
          </w:p>
        </w:tc>
      </w:tr>
    </w:tbl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Art.6</w:t>
      </w:r>
      <w:r>
        <w:rPr>
          <w:b w:val="1"/>
          <w:bCs w:val="1"/>
          <w:sz w:val="24"/>
          <w:szCs w:val="24"/>
        </w:rPr>
        <w:t>: PROTOCOLÍCESE</w:t>
      </w:r>
      <w:r>
        <w:rPr>
          <w:sz w:val="24"/>
          <w:szCs w:val="24"/>
        </w:rPr>
        <w:t>, comuníquese, publíquese en el Boletín Oficial de la Ciudad de Alta Gracia, transcríbase al Libro de Ordenanzas y archívese.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DADA EN LA SALA DE SESIONES DEL HONORABLE CONCEJO DELIBERANTE A LOS </w:t>
      </w:r>
      <w:r>
        <w:rPr>
          <w:b w:val="1"/>
          <w:bCs w:val="1"/>
          <w:sz w:val="24"/>
          <w:szCs w:val="24"/>
        </w:rPr>
        <w:t>TREINTA</w:t>
      </w:r>
      <w:r>
        <w:rPr>
          <w:b w:val="1"/>
          <w:bCs w:val="1"/>
          <w:sz w:val="24"/>
          <w:szCs w:val="24"/>
        </w:rPr>
        <w:t xml:space="preserve"> DÍAS DEL M</w:t>
      </w:r>
      <w:r>
        <w:rPr>
          <w:b w:val="1"/>
          <w:bCs w:val="1"/>
          <w:sz w:val="24"/>
          <w:szCs w:val="24"/>
        </w:rPr>
        <w:t>ES DE MARZO DEL AÑO DOS MIL SEIS</w:t>
      </w:r>
      <w:r>
        <w:rPr>
          <w:b w:val="1"/>
          <w:bCs w:val="1"/>
          <w:sz w:val="24"/>
          <w:szCs w:val="24"/>
        </w:rPr>
        <w:t>.</w:t>
      </w:r>
    </w:p>
    <w:p>
      <w:pPr>
        <w:pStyle w:val="P1"/>
        <w:jc w:val="both"/>
        <w:rPr>
          <w:b w:val="1"/>
          <w:bCs w:val="1"/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52"/>
          <w:szCs w:val="52"/>
        </w:rPr>
      </w:pPr>
    </w:p>
    <w:sectPr>
      <w:type w:val="nextPage"/>
      <w:pgSz w:w="11907" w:h="16840" w:code="0"/>
      <w:pgMar w:left="1321" w:right="132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splitPgBreakAndParaMark/>
    <w:doNotBreakConstrainedForcedTable/>
    <w:doNotVertAlignCellWithSp/>
    <w:footnoteLayoutLikeWW8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  <w:lang w:val="es-ES"/>
    </w:rPr>
  </w:style>
  <w:style w:type="paragraph" w:styleId="P1">
    <w:name w:val="Plain Text"/>
    <w:basedOn w:val="P0"/>
    <w:next w:val="P1"/>
    <w:pPr/>
    <w:rPr>
      <w:rFonts w:ascii="Courier New" w:hAnsi="Courier New"/>
    </w:rPr>
  </w:style>
  <w:style w:type="paragraph" w:styleId="P2">
    <w:name w:val="Body Text Indent 2"/>
    <w:basedOn w:val="P0"/>
    <w:next w:val="P2"/>
    <w:pPr>
      <w:ind w:left="709"/>
      <w:jc w:val="both"/>
    </w:pPr>
    <w:rPr>
      <w:sz w:val="24"/>
      <w:szCs w:val="24"/>
      <w:lang w:val="es-AR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Departamento Ejecutivo</Company>
  <Template>~wd07.tmp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2026-07-09T19:00:33Z</dcterms:created>
  <cp:lastModifiedBy>Federico Parisi</cp:lastModifiedBy>
  <cp:lastPrinted>2005-03-29T10:42:00Z</cp:lastPrinted>
  <dcterms:modified xsi:type="dcterms:W3CDTF">2026-07-09T19:00:33Z</dcterms:modified>
  <cp:revision>2</cp:revision>
  <dc:title>1¾   «        M</dc:title>
</cp:coreProperties>
</file>