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lang w:val="es-MX"/>
        </w:rPr>
      </w:pPr>
    </w:p>
    <w:p>
      <w:pPr>
        <w:pStyle w:val="P1"/>
      </w:pPr>
      <w:r>
        <w:t>ORDENANZA N° 7501</w:t>
      </w:r>
    </w:p>
    <w:p>
      <w:pPr>
        <w:rPr>
          <w:rFonts w:ascii="Courier New" w:hAnsi="Courier New"/>
          <w:b w:val="1"/>
          <w:bCs w:val="1"/>
          <w:u w:val="single"/>
          <w:lang w:val="es-MX"/>
        </w:rPr>
      </w:pPr>
    </w:p>
    <w:p>
      <w:pPr>
        <w:pStyle w:val="P9"/>
        <w:ind w:hanging="720" w:left="720"/>
        <w:jc w:val="both"/>
        <w:rPr>
          <w:b w:val="1"/>
          <w:bCs w:val="1"/>
        </w:rPr>
      </w:pPr>
      <w:r>
        <w:rPr>
          <w:b w:val="0"/>
          <w:bCs w:val="0"/>
        </w:rPr>
        <w:t>Vistos: El Expediente N° 72722 “Compañía de Tierras y Hoteles de Alta Gracia S.A.- s/Quiebra s/Incidente de realización de Inmueble”, y los predios denominados “Solares del Palmar y Parque García Lorca”; y</w:t>
      </w:r>
    </w:p>
    <w:p>
      <w:pPr>
        <w:jc w:val="both"/>
        <w:rPr>
          <w:rFonts w:ascii="Courier New" w:hAnsi="Courier New"/>
          <w:lang w:val="es-MX"/>
        </w:rPr>
      </w:pPr>
    </w:p>
    <w:p>
      <w:pPr>
        <w:jc w:val="both"/>
        <w:rPr>
          <w:rFonts w:ascii="Courier New" w:hAnsi="Courier New"/>
          <w:lang w:val="es-MX"/>
        </w:rPr>
      </w:pPr>
    </w:p>
    <w:p>
      <w:pPr>
        <w:pStyle w:val="P2"/>
      </w:pPr>
      <w:r>
        <w:t>C O N S I D E R A N D O</w:t>
      </w:r>
    </w:p>
    <w:p>
      <w:pPr>
        <w:jc w:val="both"/>
        <w:rPr>
          <w:rFonts w:ascii="Courier New" w:hAnsi="Courier New"/>
          <w:lang w:val="es-MX"/>
        </w:rPr>
      </w:pPr>
    </w:p>
    <w:p>
      <w:pPr>
        <w:jc w:val="both"/>
        <w:rPr>
          <w:rFonts w:ascii="Courier New" w:hAnsi="Courier New"/>
          <w:lang w:val="es-MX"/>
        </w:rPr>
      </w:pPr>
    </w:p>
    <w:p>
      <w:pPr>
        <w:pStyle w:val="P7"/>
        <w:tabs>
          <w:tab w:val="left" w:pos="360" w:leader="none"/>
          <w:tab w:val="left" w:pos="7200" w:leader="none"/>
        </w:tabs>
        <w:ind w:left="720"/>
      </w:pPr>
      <w:r>
        <w:t>Que en el mencionado expediente se encuentran las actuaciones que refieren a la mensura, adquisición, e inscripción de los predios denominados Solares del Palmar y García Lorca a favor de la Municipalidad de Alta Gracia en compra directa al Juez Comercial de 14° Nominación de Capital Federal en autos “Compañía de Tierras y Hoteles de Alta Gracia S.A. s/Quiebra – Incidente de realización de Inmuebles (sitos en Córdoba);</w:t>
      </w:r>
    </w:p>
    <w:p>
      <w:pPr>
        <w:pStyle w:val="P3"/>
        <w:ind w:left="720"/>
        <w:rPr>
          <w:rFonts w:ascii="Courier New" w:hAnsi="Courier New"/>
          <w:sz w:val="24"/>
          <w:szCs w:val="24"/>
          <w:lang w:val="es-MX"/>
        </w:rPr>
      </w:pPr>
    </w:p>
    <w:p>
      <w:pPr>
        <w:pStyle w:val="P3"/>
        <w:ind w:left="720"/>
        <w:rPr>
          <w:rFonts w:ascii="Courier New" w:hAnsi="Courier New"/>
          <w:sz w:val="24"/>
          <w:szCs w:val="24"/>
          <w:lang w:val="es-MX"/>
        </w:rPr>
      </w:pPr>
      <w:r>
        <w:rPr>
          <w:rFonts w:ascii="Courier New" w:hAnsi="Courier New"/>
          <w:sz w:val="24"/>
          <w:szCs w:val="24"/>
          <w:lang w:val="es-MX"/>
        </w:rPr>
        <w:t>Que consta en estas actuaciones las distintas operaciones decididas por las autoridades municipales locales tendientes a la definitiva adquisición, tanto del predio designado como Solares del Palmar como del Parque García Lorca;</w:t>
      </w:r>
    </w:p>
    <w:p>
      <w:pPr>
        <w:ind w:left="720"/>
        <w:jc w:val="both"/>
        <w:rPr>
          <w:rFonts w:ascii="Courier New" w:hAnsi="Courier New"/>
          <w:lang w:val="es-MX"/>
        </w:rPr>
      </w:pPr>
    </w:p>
    <w:p>
      <w:pPr>
        <w:ind w:left="720"/>
        <w:jc w:val="both"/>
        <w:rPr>
          <w:rFonts w:ascii="Courier New" w:hAnsi="Courier New"/>
          <w:lang w:val="es-MX"/>
        </w:rPr>
      </w:pPr>
      <w:r>
        <w:rPr>
          <w:rFonts w:ascii="Courier New" w:hAnsi="Courier New"/>
          <w:lang w:val="es-MX"/>
        </w:rPr>
        <w:t>Que asimismo se adjunta mensura de la fracción Este de la calle Las Flores ubicada al Oeste del predio Solares del Palmar, fracción para la que el Departamento Ejecutivo solicita su desafectación del Dominio Público y así proceder a su unión con el Predio Solares del Palmar;</w:t>
      </w:r>
    </w:p>
    <w:p>
      <w:pPr>
        <w:jc w:val="both"/>
        <w:rPr>
          <w:rFonts w:ascii="Courier New" w:hAnsi="Courier New"/>
          <w:lang w:val="es-MX"/>
        </w:rPr>
      </w:pPr>
    </w:p>
    <w:p>
      <w:pPr>
        <w:ind w:left="720"/>
        <w:jc w:val="both"/>
        <w:rPr>
          <w:rFonts w:ascii="Courier New" w:hAnsi="Courier New"/>
          <w:lang w:val="es-MX"/>
        </w:rPr>
      </w:pPr>
      <w:r>
        <w:rPr>
          <w:rFonts w:ascii="Courier New" w:hAnsi="Courier New"/>
          <w:lang w:val="es-MX"/>
        </w:rPr>
        <w:t>Que el Departamento Ejecutivo proyecta estimular la radicación de establecimientos hoteleros, conforme una convocatoria a instrumentar con intervención de representantes de los tres poderes municipales a los fines de su transparencia;</w:t>
      </w:r>
    </w:p>
    <w:p>
      <w:pPr>
        <w:ind w:left="720"/>
        <w:jc w:val="both"/>
        <w:rPr>
          <w:rFonts w:ascii="Courier New" w:hAnsi="Courier New"/>
          <w:lang w:val="es-MX"/>
        </w:rPr>
      </w:pPr>
    </w:p>
    <w:p>
      <w:pPr>
        <w:pStyle w:val="P5"/>
        <w:ind w:left="720"/>
      </w:pPr>
      <w:r>
        <w:t xml:space="preserve">Que es de entendimiento de este Honorable Concejo Deliberante –como lo fue de sus anteriores composiciones- la conveniencia de arbitrar todos los medios para  la  efectiva  integración  de los Predios </w:t>
      </w:r>
    </w:p>
    <w:p>
      <w:pPr>
        <w:pStyle w:val="P5"/>
        <w:ind w:left="720"/>
        <w:jc w:val="right"/>
      </w:pPr>
      <w:r>
        <w:t>...///</w:t>
      </w:r>
    </w:p>
    <w:p>
      <w:pPr>
        <w:pStyle w:val="P5"/>
        <w:ind w:hanging="720" w:left="720"/>
      </w:pPr>
    </w:p>
    <w:p>
      <w:pPr>
        <w:pStyle w:val="P5"/>
        <w:ind w:hanging="720" w:left="720"/>
      </w:pPr>
    </w:p>
    <w:p>
      <w:pPr>
        <w:pStyle w:val="P5"/>
        <w:ind w:hanging="720" w:left="720"/>
      </w:pPr>
    </w:p>
    <w:p>
      <w:pPr>
        <w:pStyle w:val="P5"/>
        <w:ind w:hanging="720" w:left="720"/>
      </w:pPr>
    </w:p>
    <w:p>
      <w:pPr>
        <w:pStyle w:val="P5"/>
        <w:ind w:hanging="720" w:left="720"/>
      </w:pPr>
    </w:p>
    <w:p>
      <w:pPr>
        <w:pStyle w:val="P5"/>
        <w:ind w:hanging="720" w:left="720"/>
      </w:pPr>
    </w:p>
    <w:p>
      <w:pPr>
        <w:pStyle w:val="P5"/>
        <w:ind w:hanging="720" w:left="720"/>
      </w:pPr>
    </w:p>
    <w:p>
      <w:pPr>
        <w:pStyle w:val="P5"/>
        <w:ind w:hanging="720" w:left="720"/>
      </w:pPr>
      <w:r>
        <w:t>...///2.-</w:t>
      </w:r>
    </w:p>
    <w:p>
      <w:pPr>
        <w:pStyle w:val="P5"/>
        <w:ind w:left="720"/>
      </w:pPr>
      <w:r>
        <w:t xml:space="preserve">Solares del Palmar y García Lorca al patrimonio municipal, igual criterio debe aplicarse respecto a la fracción Este de calle Las Flores, actualmente de treinta metros de ancho; </w:t>
      </w:r>
    </w:p>
    <w:p>
      <w:pPr>
        <w:ind w:left="720"/>
        <w:jc w:val="both"/>
        <w:rPr>
          <w:rFonts w:ascii="Courier New" w:hAnsi="Courier New"/>
          <w:lang w:val="es-MX"/>
        </w:rPr>
      </w:pPr>
    </w:p>
    <w:p>
      <w:pPr>
        <w:pStyle w:val="P10"/>
      </w:pPr>
      <w:r>
        <w:t>Que asimismo es intención de este Honorable Concejo Deliberante arbitrar los medios para que el aprovechamiento de la mayor superficie del predio Solares del Palmar se destine a actividades colectivas municipales, como pueden ser un anfiteatro, la Fiesta Anual de Colectividades, prácticas deportivas, etc. tal como se dispuso en la declaración de sujeción a expropiación por Ordenanza N° 5008;</w:t>
      </w:r>
    </w:p>
    <w:p>
      <w:pPr>
        <w:ind w:left="720"/>
        <w:jc w:val="both"/>
        <w:rPr>
          <w:rFonts w:ascii="Courier New" w:hAnsi="Courier New"/>
          <w:lang w:val="es-MX"/>
        </w:rPr>
      </w:pPr>
    </w:p>
    <w:p>
      <w:pPr>
        <w:pStyle w:val="P10"/>
      </w:pPr>
      <w:r>
        <w:t>Que la desafectación del dominio público de la fracción Este de la calle Las Flores lleva implícitas varias ventajas, tales como menores costos de mantenimiento de la misma, ampliación de la superficie aprovechable en conjunto con lo adquirido como predio Solares del Palmar, en especial teniendo en consideración la poca disponibilidad de espacios en esta Ciudad para grandes proyectos comunitarios;</w:t>
      </w:r>
    </w:p>
    <w:p>
      <w:pPr>
        <w:ind w:left="720"/>
        <w:jc w:val="both"/>
        <w:rPr>
          <w:rFonts w:ascii="Courier New" w:hAnsi="Courier New"/>
          <w:lang w:val="es-MX"/>
        </w:rPr>
      </w:pPr>
    </w:p>
    <w:p>
      <w:pPr>
        <w:pStyle w:val="P10"/>
      </w:pPr>
      <w:r>
        <w:t>Que la Municipalidad de Alta Gracia tiene reconocida la posesión del predio Solares del Palmar por el Dr. Ángel O. Sala, Juez Comercial de 14ª. Nominación en proveído de fecha once de mayo del año dos mil cuatro (fs. 544 de los autos referidos);</w:t>
      </w:r>
    </w:p>
    <w:p>
      <w:pPr>
        <w:pStyle w:val="P10"/>
      </w:pPr>
    </w:p>
    <w:p>
      <w:pPr>
        <w:pStyle w:val="P10"/>
      </w:pPr>
      <w:r>
        <w:t>Que analizado el contenido del Proyecto de Ordenanza por el Concejo constituido en Comisión, se emite despacho favorable con modificaciones, aprobado por unanimidad en Sesión Ordinaria del día 29 de junio de 2006.</w:t>
      </w:r>
    </w:p>
    <w:p>
      <w:pPr>
        <w:jc w:val="both"/>
        <w:rPr>
          <w:rFonts w:ascii="Courier New" w:hAnsi="Courier New"/>
          <w:lang w:val="es-MX"/>
        </w:rPr>
      </w:pPr>
    </w:p>
    <w:p>
      <w:pPr>
        <w:jc w:val="both"/>
        <w:rPr>
          <w:rFonts w:ascii="Courier New" w:hAnsi="Courier New"/>
          <w:lang w:val="es-MX"/>
        </w:rPr>
      </w:pPr>
    </w:p>
    <w:p>
      <w:pPr>
        <w:pStyle w:val="P2"/>
      </w:pPr>
      <w:r>
        <w:t xml:space="preserve">EL HONORABLE CONCEJO DELIBERANTE DE LA CIUDAD DE </w:t>
      </w:r>
    </w:p>
    <w:p>
      <w:pPr>
        <w:jc w:val="center"/>
        <w:rPr>
          <w:rFonts w:ascii="Courier New" w:hAnsi="Courier New"/>
          <w:b w:val="1"/>
          <w:bCs w:val="1"/>
          <w:lang w:val="es-MX"/>
        </w:rPr>
      </w:pPr>
    </w:p>
    <w:p>
      <w:pPr>
        <w:jc w:val="center"/>
        <w:rPr>
          <w:rFonts w:ascii="Courier New" w:hAnsi="Courier New"/>
          <w:b w:val="1"/>
          <w:bCs w:val="1"/>
          <w:lang w:val="es-MX"/>
        </w:rPr>
      </w:pPr>
      <w:r>
        <w:rPr>
          <w:rFonts w:ascii="Courier New" w:hAnsi="Courier New"/>
          <w:b w:val="1"/>
          <w:bCs w:val="1"/>
          <w:lang w:val="es-MX"/>
        </w:rPr>
        <w:t>ALTA GRACIA SANCIONA CON FUERZA DE ORDENANZA</w:t>
      </w:r>
    </w:p>
    <w:p>
      <w:pPr>
        <w:jc w:val="right"/>
        <w:rPr>
          <w:rFonts w:ascii="Courier New" w:hAnsi="Courier New"/>
          <w:lang w:val="es-MX"/>
        </w:rPr>
      </w:pPr>
    </w:p>
    <w:p>
      <w:pPr>
        <w:jc w:val="right"/>
        <w:rPr>
          <w:rFonts w:ascii="Courier New" w:hAnsi="Courier New"/>
          <w:lang w:val="es-MX"/>
        </w:rPr>
      </w:pPr>
      <w:r>
        <w:rPr>
          <w:rFonts w:ascii="Courier New" w:hAnsi="Courier New"/>
          <w:lang w:val="es-MX"/>
        </w:rPr>
        <w:t>...///</w:t>
      </w:r>
    </w:p>
    <w:p>
      <w:pPr>
        <w:jc w:val="both"/>
        <w:rPr>
          <w:rFonts w:ascii="Courier New" w:hAnsi="Courier New"/>
          <w:lang w:val="es-MX"/>
        </w:rPr>
      </w:pPr>
    </w:p>
    <w:p>
      <w:pPr>
        <w:jc w:val="both"/>
        <w:rPr>
          <w:rFonts w:ascii="Courier New" w:hAnsi="Courier New"/>
          <w:lang w:val="es-MX"/>
        </w:rPr>
      </w:pPr>
    </w:p>
    <w:p>
      <w:pPr>
        <w:jc w:val="both"/>
        <w:rPr>
          <w:rFonts w:ascii="Courier New" w:hAnsi="Courier New"/>
          <w:lang w:val="es-MX"/>
        </w:rPr>
      </w:pPr>
    </w:p>
    <w:p>
      <w:pPr>
        <w:jc w:val="both"/>
        <w:rPr>
          <w:rFonts w:ascii="Courier New" w:hAnsi="Courier New"/>
          <w:lang w:val="es-MX"/>
        </w:rPr>
      </w:pPr>
    </w:p>
    <w:p>
      <w:pPr>
        <w:jc w:val="both"/>
        <w:rPr>
          <w:rFonts w:ascii="Courier New" w:hAnsi="Courier New"/>
          <w:lang w:val="es-MX"/>
        </w:rPr>
      </w:pPr>
    </w:p>
    <w:p>
      <w:pPr>
        <w:jc w:val="both"/>
        <w:rPr>
          <w:rFonts w:ascii="Courier New" w:hAnsi="Courier New"/>
          <w:lang w:val="es-MX"/>
        </w:rPr>
      </w:pPr>
    </w:p>
    <w:p>
      <w:pPr>
        <w:jc w:val="both"/>
        <w:rPr>
          <w:rFonts w:ascii="Courier New" w:hAnsi="Courier New"/>
          <w:lang w:val="es-MX"/>
        </w:rPr>
      </w:pPr>
    </w:p>
    <w:p>
      <w:pPr>
        <w:jc w:val="both"/>
        <w:rPr>
          <w:rFonts w:ascii="Courier New" w:hAnsi="Courier New"/>
          <w:lang w:val="es-MX"/>
        </w:rPr>
      </w:pPr>
    </w:p>
    <w:p>
      <w:pPr>
        <w:jc w:val="both"/>
        <w:rPr>
          <w:rFonts w:ascii="Courier New" w:hAnsi="Courier New"/>
          <w:lang w:val="es-MX"/>
        </w:rPr>
      </w:pPr>
      <w:r>
        <w:rPr>
          <w:rFonts w:ascii="Courier New" w:hAnsi="Courier New"/>
          <w:lang w:val="es-MX"/>
        </w:rPr>
        <w:t>...///3.-</w:t>
      </w:r>
    </w:p>
    <w:p>
      <w:pPr>
        <w:jc w:val="both"/>
        <w:rPr>
          <w:rFonts w:ascii="Courier New" w:hAnsi="Courier New"/>
          <w:lang w:val="es-MX"/>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 AUTORÍZASE</w:t>
      </w:r>
      <w:r>
        <w:rPr>
          <w:rFonts w:ascii="Courier New" w:hAnsi="Courier New"/>
        </w:rPr>
        <w:t xml:space="preserve"> al Departamento Ejecutivo a gestionar la cesión onerosa del sector Oeste del predio designado como Solares del Palmar (Fracción 9, circ. 1, sec. 1), hasta una superficie total de veinte (20) hectáreas, de modo tal que no se afecten los futuros usos del sector Este  sobre prolongación de calle Lucas V. Córdoba, destinados a instalaciones que permitan actividades Públicas Municipales.</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Art.2</w:t>
      </w:r>
      <w:r>
        <w:rPr>
          <w:rFonts w:ascii="Courier New" w:hAnsi="Courier New"/>
          <w:b w:val="1"/>
          <w:bCs w:val="1"/>
        </w:rPr>
        <w:t>: DISPÓNESE</w:t>
      </w:r>
      <w:r>
        <w:rPr>
          <w:rFonts w:ascii="Courier New" w:hAnsi="Courier New"/>
        </w:rPr>
        <w:t xml:space="preserve"> la cantidad de doce (12) hectáreas de las comprendidas en el Artículo 1 de la presente Ordenanza, para ser ofrecidas a los interesados en emprendimientos hoteleros de diversas categorías, que presenten propuestas en ese sentido; estableciéndose el precio base para la cesión onerosa de estas doce hectáreas en la suma de treinta mil dólares americanos (U$S 30.000) por cada hectárea, o su equivalente de conformidad a mayor o menor superficie.</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Art.3</w:t>
      </w:r>
      <w:r>
        <w:rPr>
          <w:rFonts w:ascii="Courier New" w:hAnsi="Courier New"/>
          <w:b w:val="1"/>
          <w:bCs w:val="1"/>
        </w:rPr>
        <w:t>: LAS</w:t>
      </w:r>
      <w:r>
        <w:rPr>
          <w:rFonts w:ascii="Courier New" w:hAnsi="Courier New"/>
        </w:rPr>
        <w:t xml:space="preserve"> remanentes hectáreas, resultantes de restar las doce (12) determinadas en el Artículo 2 a las veinte dispuestas en el Artículo 1, todas de la presente Ordenanza, deben ofrecerse con una base igual al valor actual de mercado.</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Art.4:</w:t>
      </w:r>
      <w:r>
        <w:rPr>
          <w:rFonts w:ascii="Courier New" w:hAnsi="Courier New"/>
          <w:b w:val="1"/>
          <w:bCs w:val="1"/>
        </w:rPr>
        <w:t xml:space="preserve"> RECÍBANSE</w:t>
      </w:r>
      <w:r>
        <w:rPr>
          <w:rFonts w:ascii="Courier New" w:hAnsi="Courier New"/>
        </w:rPr>
        <w:t xml:space="preserve"> la/s propuesta/s mencionadas en el Artículo 2 de la presente Ordenanza en el Departamento Ejecutivo, las cuales deberán contener el proyecto desarrollado en forma completa, tanto en la faz técnica como económica. Presentada/s la/s misma/s por expediente, serán revisadas por las distintas áreas competentes del Departamento Ejecutivo, en especial la Secretaría de Obras y Servicios Públicos y la Dirección de Turismo; y previo informe serán elevados al Honorable Concejo Deliberante para su resolución.</w:t>
      </w:r>
    </w:p>
    <w:p>
      <w:pPr>
        <w:ind w:hanging="720" w:left="720"/>
        <w:jc w:val="right"/>
        <w:rPr>
          <w:rFonts w:ascii="Courier New" w:hAnsi="Courier New"/>
        </w:rPr>
      </w:pPr>
    </w:p>
    <w:p>
      <w:pPr>
        <w:ind w:hanging="720" w:left="720"/>
        <w:jc w:val="both"/>
        <w:rPr>
          <w:rFonts w:ascii="Courier New" w:hAnsi="Courier New"/>
        </w:rPr>
      </w:pPr>
      <w:r>
        <w:rPr>
          <w:rFonts w:ascii="Courier New" w:hAnsi="Courier New"/>
          <w:b w:val="1"/>
          <w:bCs w:val="1"/>
          <w:u w:val="single"/>
        </w:rPr>
        <w:t>Art.5</w:t>
      </w:r>
      <w:r>
        <w:rPr>
          <w:rFonts w:ascii="Courier New" w:hAnsi="Courier New"/>
          <w:b w:val="1"/>
          <w:bCs w:val="1"/>
        </w:rPr>
        <w:t>: CONDICIÓNASE</w:t>
      </w:r>
      <w:r>
        <w:rPr>
          <w:rFonts w:ascii="Courier New" w:hAnsi="Courier New"/>
        </w:rPr>
        <w:t xml:space="preserve"> cada cesión onerosa a la que hace referencia el Artículo 2 de la presente Ordenanza a la efectiva   construcción,   habilitación   municipal  y </w:t>
      </w:r>
    </w:p>
    <w:p>
      <w:pPr>
        <w:ind w:hanging="720" w:left="720"/>
        <w:jc w:val="right"/>
        <w:rPr>
          <w:rFonts w:ascii="Courier New" w:hAnsi="Courier New"/>
        </w:rPr>
      </w:pPr>
      <w:r>
        <w:rPr>
          <w:rFonts w:ascii="Courier New" w:hAnsi="Courier New"/>
        </w:rPr>
        <w:t>...///</w:t>
      </w:r>
    </w:p>
    <w:p>
      <w:pPr>
        <w:ind w:hanging="720" w:left="720"/>
        <w:jc w:val="both"/>
        <w:rPr>
          <w:rFonts w:ascii="Courier New" w:hAnsi="Courier New"/>
          <w:b w:val="1"/>
          <w:bCs w:val="1"/>
          <w:u w:val="single"/>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r>
        <w:rPr>
          <w:rFonts w:ascii="Courier New" w:hAnsi="Courier New"/>
        </w:rPr>
        <w:t>...///4.-</w:t>
      </w:r>
    </w:p>
    <w:p>
      <w:pPr>
        <w:ind w:hanging="720" w:left="720"/>
        <w:jc w:val="both"/>
        <w:rPr>
          <w:rFonts w:ascii="Courier New" w:hAnsi="Courier New"/>
        </w:rPr>
      </w:pPr>
    </w:p>
    <w:p>
      <w:pPr>
        <w:pStyle w:val="P10"/>
        <w:rPr>
          <w:lang w:val="es-ES"/>
        </w:rPr>
      </w:pPr>
      <w:r>
        <w:rPr>
          <w:lang w:val="es-ES"/>
        </w:rPr>
        <w:t>funcionamiento del proyecto que justifique tal cesión, bajo expreso apercibimiento de caducar de pleno derecho.</w:t>
      </w:r>
    </w:p>
    <w:p>
      <w:pPr>
        <w:ind w:hanging="720" w:left="720"/>
        <w:jc w:val="both"/>
        <w:rPr>
          <w:rFonts w:ascii="Courier New" w:hAnsi="Courier New"/>
          <w:u w:val="single"/>
        </w:rPr>
      </w:pPr>
    </w:p>
    <w:p>
      <w:pPr>
        <w:ind w:hanging="720" w:left="720"/>
        <w:jc w:val="both"/>
        <w:rPr>
          <w:rFonts w:ascii="Courier New" w:hAnsi="Courier New"/>
        </w:rPr>
      </w:pPr>
      <w:r>
        <w:rPr>
          <w:rFonts w:ascii="Courier New" w:hAnsi="Courier New"/>
          <w:b w:val="1"/>
          <w:bCs w:val="1"/>
          <w:u w:val="single"/>
        </w:rPr>
        <w:t>Art.6</w:t>
      </w:r>
      <w:r>
        <w:rPr>
          <w:rFonts w:ascii="Courier New" w:hAnsi="Courier New"/>
          <w:b w:val="1"/>
          <w:bCs w:val="1"/>
        </w:rPr>
        <w:t>: LAS</w:t>
      </w:r>
      <w:r>
        <w:rPr>
          <w:rFonts w:ascii="Courier New" w:hAnsi="Courier New"/>
        </w:rPr>
        <w:t xml:space="preserve"> cesiones dispuestas en el Artículo 1 de la presente Ordenanza son autorizadas por el Honorable Concejo Deliberante, a pedido del Departamento Ejecutivo y en cada caso en particular.</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Art.7</w:t>
      </w:r>
      <w:r>
        <w:rPr>
          <w:rFonts w:ascii="Courier New" w:hAnsi="Courier New"/>
          <w:b w:val="1"/>
          <w:bCs w:val="1"/>
        </w:rPr>
        <w:t>: DESTÍNESE</w:t>
      </w:r>
      <w:r>
        <w:rPr>
          <w:rFonts w:ascii="Courier New" w:hAnsi="Courier New"/>
        </w:rPr>
        <w:t xml:space="preserve"> el producido por las cesiones dispuestas en la presente Ordenanza, en cuanto no importen un canje, exclusivamente para cubrir mejoras y construcciones en el resto de la fracción de Solares del Palmar, con destino a actividades colectivas municipales.</w:t>
      </w:r>
    </w:p>
    <w:p>
      <w:pPr>
        <w:ind w:hanging="720" w:left="720"/>
        <w:jc w:val="both"/>
        <w:rPr>
          <w:rFonts w:ascii="Courier New" w:hAnsi="Courier New"/>
          <w:u w:val="single"/>
        </w:rPr>
      </w:pPr>
    </w:p>
    <w:p>
      <w:pPr>
        <w:ind w:hanging="720" w:left="720"/>
        <w:jc w:val="both"/>
        <w:rPr>
          <w:rFonts w:ascii="Courier New" w:hAnsi="Courier New"/>
        </w:rPr>
      </w:pPr>
      <w:r>
        <w:rPr>
          <w:rFonts w:ascii="Courier New" w:hAnsi="Courier New"/>
          <w:b w:val="1"/>
          <w:bCs w:val="1"/>
          <w:u w:val="single"/>
        </w:rPr>
        <w:t>Art.8:</w:t>
      </w:r>
      <w:r>
        <w:rPr>
          <w:rFonts w:ascii="Courier New" w:hAnsi="Courier New"/>
          <w:b w:val="1"/>
          <w:bCs w:val="1"/>
        </w:rPr>
        <w:t xml:space="preserve"> FÍJASE</w:t>
      </w:r>
      <w:r>
        <w:rPr>
          <w:rFonts w:ascii="Courier New" w:hAnsi="Courier New"/>
        </w:rPr>
        <w:t xml:space="preserve"> como plazo para la presentación de proyectos, montos ofrecidos y forma de pago por los interesados a acogerse a este beneficio, hasta treinta días hábiles a contar desde la fecha de la publicación de la presente Ordenanza en el Boletín Oficial de la Municipalidad de Alta Gracia.</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Art.9</w:t>
      </w:r>
      <w:r>
        <w:rPr>
          <w:rFonts w:ascii="Courier New" w:hAnsi="Courier New"/>
          <w:b w:val="1"/>
          <w:bCs w:val="1"/>
        </w:rPr>
        <w:t>: ESTABLÉCESE</w:t>
      </w:r>
      <w:r>
        <w:rPr>
          <w:rFonts w:ascii="Courier New" w:hAnsi="Courier New"/>
        </w:rPr>
        <w:t xml:space="preserve"> a cargo del Departamento Ejecutivo la comunicación al Honorable Concejo Deliberante de todas y cada una de las presentaciones realizadas en virtud de la presente Ordenanza.</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Art.10</w:t>
      </w:r>
      <w:r>
        <w:rPr>
          <w:rFonts w:ascii="Courier New" w:hAnsi="Courier New"/>
          <w:b w:val="1"/>
          <w:bCs w:val="1"/>
        </w:rPr>
        <w:t>: TÉNGASE</w:t>
      </w:r>
      <w:r>
        <w:rPr>
          <w:rFonts w:ascii="Courier New" w:hAnsi="Courier New"/>
        </w:rPr>
        <w:t xml:space="preserve"> por modificado el Artículo 2 de la Ordenanza 5008 de conformidad a lo dispuesto supra.</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Art.11</w:t>
      </w:r>
      <w:r>
        <w:rPr>
          <w:rFonts w:ascii="Courier New" w:hAnsi="Courier New"/>
          <w:b w:val="1"/>
          <w:bCs w:val="1"/>
        </w:rPr>
        <w:t>: DERÓGASE</w:t>
      </w:r>
      <w:r>
        <w:rPr>
          <w:rFonts w:ascii="Courier New" w:hAnsi="Courier New"/>
        </w:rPr>
        <w:t xml:space="preserve"> el Artículo 3 de la Ordenanza 5008.</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Art.12</w:t>
      </w:r>
      <w:r>
        <w:rPr>
          <w:rFonts w:ascii="Courier New" w:hAnsi="Courier New"/>
          <w:b w:val="1"/>
          <w:bCs w:val="1"/>
        </w:rPr>
        <w:t>: DESAFÉCTASE</w:t>
      </w:r>
      <w:r>
        <w:rPr>
          <w:rFonts w:ascii="Courier New" w:hAnsi="Courier New"/>
        </w:rPr>
        <w:t xml:space="preserve"> del Dominio Público Municipal el sector Este de la calle Las Flores, de una superficie total de siete mil ciento noventa y nueve metros cuadrados con 74 centímetros cuadrados (7.199,74 m2), conforme a la mensura realizada por el Ingeniero Miguel Constantini, M.P. 1766-8.</w:t>
      </w:r>
    </w:p>
    <w:p>
      <w:pPr>
        <w:ind w:hanging="720" w:left="720"/>
        <w:jc w:val="right"/>
        <w:rPr>
          <w:rFonts w:ascii="Courier New" w:hAnsi="Courier New"/>
        </w:rPr>
      </w:pPr>
    </w:p>
    <w:p>
      <w:pPr>
        <w:ind w:hanging="720" w:left="720"/>
        <w:jc w:val="both"/>
        <w:rPr>
          <w:rFonts w:ascii="Courier New" w:hAnsi="Courier New"/>
        </w:rPr>
      </w:pPr>
      <w:r>
        <w:rPr>
          <w:rFonts w:ascii="Courier New" w:hAnsi="Courier New"/>
          <w:b w:val="1"/>
          <w:bCs w:val="1"/>
          <w:u w:val="single"/>
        </w:rPr>
        <w:t>Art.13</w:t>
      </w:r>
      <w:r>
        <w:rPr>
          <w:rFonts w:ascii="Courier New" w:hAnsi="Courier New"/>
          <w:b w:val="1"/>
          <w:bCs w:val="1"/>
        </w:rPr>
        <w:t>: LA</w:t>
      </w:r>
      <w:r>
        <w:rPr>
          <w:rFonts w:ascii="Courier New" w:hAnsi="Courier New"/>
        </w:rPr>
        <w:t xml:space="preserve"> presente Ordenanza entrará en vigencia en la fecha que se dicte su Decreto promulgatorio en un todo de conformidad a lo establecido en el Artículo 24 de la Carta Orgánica Municipal.</w:t>
      </w:r>
    </w:p>
    <w:p>
      <w:pPr>
        <w:ind w:hanging="720" w:left="720"/>
        <w:jc w:val="right"/>
        <w:rPr>
          <w:rFonts w:ascii="Courier New" w:hAnsi="Courier New"/>
        </w:rPr>
      </w:pPr>
      <w:r>
        <w:rPr>
          <w:rFonts w:ascii="Courier New" w:hAnsi="Courier New"/>
        </w:rPr>
        <w:t>...///</w:t>
      </w: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p>
    <w:p>
      <w:pPr>
        <w:ind w:hanging="720" w:left="720"/>
        <w:jc w:val="both"/>
        <w:rPr>
          <w:rFonts w:ascii="Courier New" w:hAnsi="Courier New"/>
        </w:rPr>
      </w:pPr>
      <w:r>
        <w:rPr>
          <w:rFonts w:ascii="Courier New" w:hAnsi="Courier New"/>
        </w:rPr>
        <w:t>...///5.-</w:t>
      </w:r>
    </w:p>
    <w:p>
      <w:pPr>
        <w:ind w:hanging="720" w:left="720"/>
        <w:jc w:val="both"/>
        <w:rPr>
          <w:rFonts w:ascii="Courier New" w:hAnsi="Courier New"/>
        </w:rPr>
      </w:pPr>
    </w:p>
    <w:p>
      <w:pPr>
        <w:ind w:hanging="720" w:left="720"/>
        <w:jc w:val="both"/>
        <w:rPr>
          <w:rFonts w:ascii="Courier New" w:hAnsi="Courier New"/>
          <w:lang w:val="es-AR"/>
        </w:rPr>
      </w:pPr>
      <w:r>
        <w:rPr>
          <w:rFonts w:ascii="Courier New" w:hAnsi="Courier New"/>
          <w:b w:val="1"/>
          <w:bCs w:val="1"/>
          <w:u w:val="single"/>
          <w:lang w:val="es-AR"/>
        </w:rPr>
        <w:t>Art.14</w:t>
      </w:r>
      <w:r>
        <w:rPr>
          <w:rFonts w:ascii="Courier New" w:hAnsi="Courier New"/>
          <w:b w:val="1"/>
          <w:bCs w:val="1"/>
          <w:lang w:val="es-AR"/>
        </w:rPr>
        <w:t>: PROTOCOLÍCESE,</w:t>
      </w:r>
      <w:r>
        <w:rPr>
          <w:rFonts w:ascii="Courier New" w:hAnsi="Courier New"/>
          <w:lang w:val="es-AR"/>
        </w:rPr>
        <w:t xml:space="preserve"> comuníquese, publíquese en el Boletín Oficial de la Ciudad de Alta Gracia, transcríbase al Libro de Ordenanzas y archívese.</w:t>
      </w:r>
    </w:p>
    <w:p>
      <w:pPr>
        <w:jc w:val="both"/>
        <w:rPr>
          <w:rFonts w:ascii="Courier New" w:hAnsi="Courier New"/>
          <w:lang w:val="es-AR"/>
        </w:rPr>
      </w:pPr>
    </w:p>
    <w:p>
      <w:pPr>
        <w:jc w:val="both"/>
        <w:rPr>
          <w:rFonts w:ascii="Courier New" w:hAnsi="Courier New"/>
          <w:lang w:val="es-AR"/>
        </w:rPr>
      </w:pPr>
    </w:p>
    <w:p>
      <w:pPr>
        <w:jc w:val="both"/>
        <w:rPr>
          <w:rFonts w:ascii="Courier New" w:hAnsi="Courier New"/>
          <w:b w:val="1"/>
          <w:bCs w:val="1"/>
          <w:lang w:val="es-AR"/>
        </w:rPr>
      </w:pPr>
      <w:r>
        <w:rPr>
          <w:rFonts w:ascii="Courier New" w:hAnsi="Courier New"/>
          <w:b w:val="1"/>
          <w:bCs w:val="1"/>
          <w:lang w:val="es-AR"/>
        </w:rPr>
        <w:t>DADA EN LA SALA DE SESIONES DEL HONORABLE CONCEJO DELIBERANTE A LOS VEINTINUEVE DÍAS DEL MES DE JUNIO DEL AÑO 2006.</w:t>
      </w:r>
    </w:p>
    <w:sectPr>
      <w:footerReference w:type="default" r:id="RelFtr1"/>
      <w:footerReference w:type="even" r:id="RelFtr2"/>
      <w:type w:val="nextPage"/>
      <w:pgSz w:w="11907" w:h="16727" w:code="0"/>
      <w:pgMar w:left="1701" w:right="1418" w:top="1985" w:bottom="1418" w:header="720" w:footer="720" w:gutter="0"/>
      <w:pgNumType w:start="1"/>
      <w:titlePg w:val="1"/>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4"/>
      <w:framePr w:w="1073" w:h="783" w:hRule="exact" w:wrap="around" w:vAnchor="text" w:hAnchor="margin" w:xAlign="outside" w:y="4"/>
    </w:pPr>
  </w:p>
  <w:p>
    <w:pPr>
      <w:pStyle w:val="P4"/>
      <w:ind w:right="360"/>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4"/>
      <w:framePr w:wrap="around" w:vAnchor="text" w:hAnchor="margin" w:xAlign="outside" w:y="1"/>
    </w:pPr>
    <w:r>
      <w:fldChar w:fldCharType="begin"/>
    </w:r>
    <w:r>
      <w:instrText xml:space="preserve">PAGE  </w:instrText>
    </w:r>
    <w:r>
      <w:fldChar w:fldCharType="separate"/>
    </w:r>
    <w:r>
      <w:t>#</w:t>
    </w:r>
    <w:r>
      <w:fldChar w:fldCharType="end"/>
    </w:r>
  </w:p>
  <w:p>
    <w:pPr>
      <w:pStyle w:val="P4"/>
      <w:ind w:firstLine="360" w:right="360"/>
    </w:pPr>
  </w:p>
</w:ft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efaultTabStop w:val="57"/>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cs="Courier New"/>
      <w:b w:val="1"/>
      <w:bCs w:val="1"/>
      <w:u w:val="single"/>
      <w:lang w:val="es-MX"/>
    </w:rPr>
  </w:style>
  <w:style w:type="paragraph" w:styleId="P2">
    <w:name w:val="Heading 2"/>
    <w:basedOn w:val="P0"/>
    <w:next w:val="P0"/>
    <w:pPr>
      <w:keepNext w:val="1"/>
      <w:jc w:val="center"/>
      <w:outlineLvl w:val="1"/>
    </w:pPr>
    <w:rPr>
      <w:rFonts w:ascii="Courier New" w:hAnsi="Courier New" w:cs="Courier New"/>
      <w:b w:val="1"/>
      <w:bCs w:val="1"/>
      <w:lang w:val="es-MX"/>
    </w:rPr>
  </w:style>
  <w:style w:type="paragraph" w:styleId="P3">
    <w:name w:val="Body Text 3"/>
    <w:basedOn w:val="P0"/>
    <w:next w:val="P3"/>
    <w:pPr>
      <w:jc w:val="both"/>
    </w:pPr>
    <w:rPr>
      <w:sz w:val="28"/>
      <w:szCs w:val="28"/>
      <w:lang w:val="es-AR"/>
    </w:rPr>
  </w:style>
  <w:style w:type="paragraph" w:styleId="P4">
    <w:name w:val="Footer"/>
    <w:basedOn w:val="P0"/>
    <w:next w:val="P4"/>
    <w:pPr>
      <w:tabs>
        <w:tab w:val="center" w:pos="4419" w:leader="none"/>
        <w:tab w:val="right" w:pos="8838" w:leader="none"/>
      </w:tabs>
    </w:pPr>
    <w:rPr>
      <w:sz w:val="20"/>
      <w:szCs w:val="20"/>
    </w:rPr>
  </w:style>
  <w:style w:type="paragraph" w:styleId="P5">
    <w:name w:val="Body Text"/>
    <w:basedOn w:val="P0"/>
    <w:next w:val="P5"/>
    <w:pPr>
      <w:jc w:val="both"/>
    </w:pPr>
    <w:rPr>
      <w:rFonts w:ascii="Courier New" w:hAnsi="Courier New" w:cs="Courier New"/>
      <w:lang w:val="es-MX"/>
    </w:rPr>
  </w:style>
  <w:style w:type="paragraph" w:styleId="P6">
    <w:name w:val="Plain Text"/>
    <w:basedOn w:val="P0"/>
    <w:next w:val="P6"/>
    <w:pPr/>
    <w:rPr>
      <w:rFonts w:ascii="Courier New" w:hAnsi="Courier New"/>
      <w:sz w:val="20"/>
      <w:szCs w:val="20"/>
      <w:lang/>
    </w:rPr>
  </w:style>
  <w:style w:type="paragraph" w:styleId="P7">
    <w:name w:val="Body Text Indent"/>
    <w:basedOn w:val="P0"/>
    <w:next w:val="P7"/>
    <w:pPr>
      <w:ind w:left="680"/>
      <w:jc w:val="both"/>
    </w:pPr>
    <w:rPr>
      <w:rFonts w:ascii="Courier New" w:hAnsi="Courier New" w:cs="Courier New"/>
      <w:lang w:val="es-MX"/>
    </w:rPr>
  </w:style>
  <w:style w:type="paragraph" w:styleId="P8">
    <w:name w:val="Header"/>
    <w:basedOn w:val="P0"/>
    <w:next w:val="P8"/>
    <w:pPr>
      <w:tabs>
        <w:tab w:val="center" w:pos="4419" w:leader="none"/>
        <w:tab w:val="right" w:pos="8838" w:leader="none"/>
      </w:tabs>
    </w:pPr>
    <w:rPr/>
  </w:style>
  <w:style w:type="paragraph" w:styleId="P9">
    <w:name w:val="Body Text 2"/>
    <w:basedOn w:val="P0"/>
    <w:next w:val="P9"/>
    <w:pPr/>
    <w:rPr>
      <w:rFonts w:ascii="Courier New" w:hAnsi="Courier New"/>
      <w:b w:val="1"/>
      <w:bCs w:val="1"/>
      <w:lang w:val="es-MX"/>
    </w:rPr>
  </w:style>
  <w:style w:type="paragraph" w:styleId="P10">
    <w:name w:val="Body Text Indent 2"/>
    <w:basedOn w:val="P0"/>
    <w:next w:val="P10"/>
    <w:pPr>
      <w:ind w:left="720"/>
      <w:jc w:val="both"/>
    </w:pPr>
    <w:rPr>
      <w:rFonts w:ascii="Courier New" w:hAnsi="Courier New"/>
      <w:lang w:val="es-MX"/>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2026-07-09T18:59:27Z</dcterms:created>
  <cp:lastModifiedBy>Federico Parisi</cp:lastModifiedBy>
  <cp:lastPrinted>2006-07-05T14:38:00Z</cp:lastPrinted>
  <dcterms:modified xsi:type="dcterms:W3CDTF">2026-07-09T18:59:27Z</dcterms:modified>
  <cp:revision>2</cp:revision>
  <dc:title>PROYECTO DE ORDENANZA</dc:title>
</cp:coreProperties>
</file>