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3"/>
        <w:jc w:val="center"/>
        <w:rPr>
          <w:rFonts w:cs="Times New Roman"/>
          <w:sz w:val="24"/>
          <w:szCs w:val="24"/>
        </w:rPr>
      </w:pPr>
      <w:r>
        <w:rPr>
          <w:b w:val="1"/>
          <w:bCs w:val="1"/>
          <w:sz w:val="24"/>
          <w:szCs w:val="24"/>
          <w:u w:val="single"/>
        </w:rPr>
        <w:t>ORDENANZA N° 7772</w:t>
      </w:r>
      <w:r>
        <w:rPr>
          <w:rFonts w:cs="Times New Roman"/>
          <w:sz w:val="24"/>
          <w:szCs w:val="24"/>
        </w:rPr>
        <w:br w:type="textWrapping"/>
      </w:r>
    </w:p>
    <w:p>
      <w:pPr>
        <w:pStyle w:val="P3"/>
        <w:ind w:hanging="709" w:left="709"/>
        <w:jc w:val="both"/>
        <w:rPr>
          <w:rFonts w:cs="Times New Roman"/>
          <w:sz w:val="24"/>
          <w:szCs w:val="24"/>
        </w:rPr>
      </w:pPr>
      <w:r>
        <w:rPr>
          <w:rFonts w:cs="Times New Roman"/>
          <w:sz w:val="24"/>
          <w:szCs w:val="24"/>
        </w:rPr>
        <w:t>Visto: el proyecto presentado en el marco de la Ordenanza N</w:t>
      </w:r>
      <w:r>
        <w:rPr>
          <w:rFonts w:cs="Times New Roman"/>
          <w:sz w:val="24"/>
          <w:szCs w:val="24"/>
          <w:position w:val="6"/>
        </w:rPr>
        <w:t xml:space="preserve">° </w:t>
      </w:r>
      <w:r>
        <w:rPr>
          <w:rFonts w:cs="Times New Roman"/>
          <w:sz w:val="24"/>
          <w:szCs w:val="24"/>
        </w:rPr>
        <w:t>7501 por parte de los Sres. Sebastián L. Valdez y Gabriel H. Valdez que consta en el Expediente N° 264/I/06; y</w:t>
        <w:br w:type="textWrapping"/>
      </w:r>
    </w:p>
    <w:p>
      <w:pPr>
        <w:pStyle w:val="P3"/>
        <w:ind w:hanging="709" w:left="709"/>
        <w:jc w:val="both"/>
        <w:rPr>
          <w:rFonts w:cs="Times New Roman"/>
          <w:sz w:val="24"/>
          <w:szCs w:val="24"/>
        </w:rPr>
      </w:pPr>
    </w:p>
    <w:p>
      <w:pPr>
        <w:pStyle w:val="P3"/>
        <w:jc w:val="center"/>
        <w:rPr>
          <w:b w:val="1"/>
          <w:bCs w:val="1"/>
          <w:sz w:val="24"/>
          <w:szCs w:val="24"/>
        </w:rPr>
      </w:pPr>
      <w:r>
        <w:rPr>
          <w:b w:val="1"/>
          <w:bCs w:val="1"/>
          <w:sz w:val="24"/>
          <w:szCs w:val="24"/>
        </w:rPr>
        <w:t>C O N S I D E R A N D O</w:t>
        <w:br w:type="textWrapping"/>
      </w:r>
    </w:p>
    <w:p>
      <w:pPr>
        <w:pStyle w:val="P3"/>
        <w:jc w:val="center"/>
        <w:rPr>
          <w:b w:val="1"/>
          <w:bCs w:val="1"/>
          <w:sz w:val="24"/>
          <w:szCs w:val="24"/>
        </w:rPr>
      </w:pPr>
    </w:p>
    <w:p>
      <w:pPr>
        <w:pStyle w:val="P3"/>
        <w:ind w:left="709"/>
        <w:jc w:val="both"/>
        <w:rPr>
          <w:rFonts w:cs="Times New Roman"/>
          <w:sz w:val="24"/>
          <w:szCs w:val="24"/>
        </w:rPr>
      </w:pPr>
      <w:r>
        <w:rPr>
          <w:rFonts w:cs="Times New Roman"/>
          <w:sz w:val="24"/>
          <w:szCs w:val="24"/>
        </w:rPr>
        <w:t>Que la referida norma establece el marco para la concesión de los terrenos destinados a emprendimientos turísticos;</w:t>
        <w:br w:type="textWrapping"/>
      </w:r>
    </w:p>
    <w:p>
      <w:pPr>
        <w:pStyle w:val="P3"/>
        <w:ind w:left="709"/>
        <w:jc w:val="both"/>
        <w:rPr>
          <w:rFonts w:cs="Times New Roman"/>
          <w:sz w:val="24"/>
          <w:szCs w:val="24"/>
        </w:rPr>
      </w:pPr>
      <w:r>
        <w:rPr>
          <w:rFonts w:cs="Times New Roman"/>
          <w:sz w:val="24"/>
          <w:szCs w:val="24"/>
        </w:rPr>
        <w:t>Que en el mencionado expediente se encuentran los antecedentes de la propuesta presentada en tiempo y forma de acuerdo a los Artículos 4 y 8 de la Ordenanza N° 7501;</w:t>
        <w:br w:type="textWrapping"/>
      </w:r>
    </w:p>
    <w:p>
      <w:pPr>
        <w:pStyle w:val="P3"/>
        <w:ind w:left="709"/>
        <w:jc w:val="both"/>
        <w:rPr>
          <w:rFonts w:cs="Times New Roman"/>
          <w:sz w:val="24"/>
          <w:szCs w:val="24"/>
        </w:rPr>
      </w:pPr>
      <w:r>
        <w:rPr>
          <w:rFonts w:cs="Times New Roman"/>
          <w:sz w:val="24"/>
          <w:szCs w:val="24"/>
        </w:rPr>
        <w:t>Que en las fs. 17 a 19, 51, 58 y 85 del mencionado Expediente se encuentran los informes de las áreas municipales requeridos por el Artículo 4 de la Ordenanza N° 7501;</w:t>
        <w:br w:type="textWrapping"/>
      </w:r>
    </w:p>
    <w:p>
      <w:pPr>
        <w:pStyle w:val="P3"/>
        <w:ind w:left="709"/>
        <w:jc w:val="both"/>
        <w:rPr>
          <w:rFonts w:cs="Times New Roman"/>
          <w:sz w:val="24"/>
          <w:szCs w:val="24"/>
        </w:rPr>
      </w:pPr>
      <w:r>
        <w:rPr>
          <w:rFonts w:cs="Times New Roman"/>
          <w:sz w:val="24"/>
          <w:szCs w:val="24"/>
        </w:rPr>
        <w:t>Que a fs. 92 del mencionado expediente se encuentra la solicitud del Departamento Ejecutivo para el otorgamiento a los solicitantes de los terrenos de acuerdo a lo establecido en el Artículo 6 de la Ordenanza N° 7501;</w:t>
        <w:br w:type="textWrapping"/>
        <w:br w:type="textWrapping"/>
        <w:t>Que Asesoría Letrada a solicitud de este Cuerpo elevó modelo de convenio de Cesión de derechos que fuera perfeccionado en sucesivas reuniones con los solicitantes;</w:t>
        <w:br w:type="textWrapping"/>
        <w:br w:type="textWrapping"/>
        <w:t>Que el Artículo 6 de la Ordenanza N</w:t>
      </w:r>
      <w:r>
        <w:rPr>
          <w:rFonts w:cs="Times New Roman"/>
          <w:sz w:val="24"/>
          <w:szCs w:val="24"/>
          <w:position w:val="6"/>
        </w:rPr>
        <w:t xml:space="preserve">° </w:t>
      </w:r>
      <w:r>
        <w:rPr>
          <w:rFonts w:cs="Times New Roman"/>
          <w:sz w:val="24"/>
          <w:szCs w:val="24"/>
        </w:rPr>
        <w:t>7501 establece que las cesiones son autorizadas por el Honorable Concejo Deliberante;</w:t>
        <w:br w:type="textWrapping"/>
        <w:br w:type="textWrapping"/>
        <w:t>Que analizado el contenido del Proyecto de Ordenanza por el Concejo constituido en Comisión, se emite despacho favorable aprobado por unanimidad en Sesión Ordinaria del día 12 de julio del 2007.</w:t>
        <w:br w:type="textWrapping"/>
      </w:r>
    </w:p>
    <w:p>
      <w:pPr>
        <w:pStyle w:val="P3"/>
        <w:ind w:left="709"/>
        <w:jc w:val="right"/>
        <w:rPr>
          <w:rFonts w:cs="Times New Roman"/>
          <w:sz w:val="24"/>
          <w:szCs w:val="24"/>
        </w:rPr>
      </w:pPr>
      <w:r>
        <w:rPr>
          <w:rFonts w:cs="Times New Roman"/>
          <w:sz w:val="24"/>
          <w:szCs w:val="24"/>
        </w:rPr>
        <w:t>...///</w:t>
        <w:br w:type="textWrapping"/>
      </w:r>
    </w:p>
    <w:p>
      <w:pPr>
        <w:pStyle w:val="P3"/>
        <w:rPr>
          <w:rFonts w:cs="Times New Roman"/>
          <w:sz w:val="24"/>
          <w:szCs w:val="24"/>
        </w:rPr>
      </w:pPr>
      <w:r>
        <w:rPr>
          <w:rFonts w:cs="Times New Roman"/>
          <w:sz w:val="24"/>
          <w:szCs w:val="24"/>
        </w:rPr>
        <w:br w:type="textWrapping"/>
        <w:br w:type="textWrapping"/>
        <w:br w:type="textWrapping"/>
        <w:br w:type="textWrapping"/>
        <w:br w:type="textWrapping"/>
        <w:br w:type="textWrapping"/>
        <w:br w:type="textWrapping"/>
        <w:br w:type="textWrapping"/>
        <w:br w:type="textWrapping"/>
        <w:t>...///2.-</w:t>
        <w:br w:type="textWrapping"/>
      </w:r>
    </w:p>
    <w:p>
      <w:pPr>
        <w:pStyle w:val="P3"/>
        <w:jc w:val="center"/>
        <w:rPr>
          <w:rFonts w:cs="Times New Roman"/>
          <w:b w:val="1"/>
          <w:bCs w:val="1"/>
          <w:sz w:val="24"/>
          <w:szCs w:val="24"/>
        </w:rPr>
      </w:pPr>
      <w:r>
        <w:rPr>
          <w:rFonts w:cs="Times New Roman"/>
          <w:sz w:val="24"/>
          <w:szCs w:val="24"/>
        </w:rPr>
        <w:br w:type="textWrapping"/>
      </w:r>
      <w:r>
        <w:rPr>
          <w:rFonts w:cs="Times New Roman"/>
          <w:b w:val="1"/>
          <w:bCs w:val="1"/>
          <w:sz w:val="24"/>
          <w:szCs w:val="24"/>
        </w:rPr>
        <w:t>EL HONORABLE CONCEJO DELIBERANTE DE LA CIUDAD DE</w:t>
        <w:br w:type="textWrapping"/>
      </w:r>
    </w:p>
    <w:p>
      <w:pPr>
        <w:pStyle w:val="P3"/>
        <w:jc w:val="center"/>
        <w:rPr>
          <w:b w:val="1"/>
          <w:bCs w:val="1"/>
          <w:sz w:val="24"/>
          <w:szCs w:val="24"/>
        </w:rPr>
      </w:pPr>
      <w:r>
        <w:rPr>
          <w:b w:val="1"/>
          <w:bCs w:val="1"/>
          <w:sz w:val="24"/>
          <w:szCs w:val="24"/>
        </w:rPr>
        <w:t>ALTA GRACIA SANCIONA CON FUERZA DE ORDENANZA</w:t>
        <w:br w:type="textWrapping"/>
      </w:r>
    </w:p>
    <w:p>
      <w:pPr>
        <w:pStyle w:val="P3"/>
        <w:jc w:val="center"/>
        <w:rPr>
          <w:b w:val="1"/>
          <w:bCs w:val="1"/>
          <w:sz w:val="24"/>
          <w:szCs w:val="24"/>
        </w:rPr>
      </w:pPr>
    </w:p>
    <w:p>
      <w:pPr>
        <w:pStyle w:val="P3"/>
        <w:ind w:hanging="709" w:left="709"/>
        <w:jc w:val="both"/>
        <w:rPr>
          <w:rFonts w:cs="Times New Roman"/>
          <w:sz w:val="24"/>
          <w:szCs w:val="24"/>
        </w:rPr>
      </w:pPr>
      <w:r>
        <w:rPr>
          <w:rFonts w:cs="Times New Roman"/>
          <w:b w:val="1"/>
          <w:bCs w:val="1"/>
          <w:sz w:val="24"/>
          <w:szCs w:val="24"/>
          <w:u w:val="single"/>
        </w:rPr>
        <w:t>Art.1</w:t>
      </w:r>
      <w:r>
        <w:rPr>
          <w:rFonts w:cs="Times New Roman"/>
          <w:b w:val="1"/>
          <w:bCs w:val="1"/>
          <w:sz w:val="24"/>
          <w:szCs w:val="24"/>
        </w:rPr>
        <w:t xml:space="preserve">: AUTORIZAR </w:t>
      </w:r>
      <w:r>
        <w:rPr>
          <w:rFonts w:cs="Times New Roman"/>
          <w:sz w:val="24"/>
          <w:szCs w:val="24"/>
        </w:rPr>
        <w:t>la cesión de derechos y el compromiso para la inmediata transmisión a favor de los Sres. Sebastián L. Valdez y Gabriel H. Valdez del dominio sobre los lotes descriptos como lotes 10 al 17, según el plano obrante a fs. 61 del Expediente N° 264/I/06, del loteo correspondiente al Sector Oeste de una superficie mayor denominado predio "SOLARES DEL PALMAR" luego de inscripto el predio referido a nombre de la Municipalidad de Alta Gracia, ubicado en la Ciudad de Alta Gracia, sobre la Ruta Provincial C-45, que linda al Norte con calle Monseñor Jesús Roldán, al Este con Ruta Provincial C-45, al Oeste con las calles Las Flores y Los Crisantemos, y al Sur con calle Rawson.</w:t>
        <w:br w:type="textWrapping"/>
      </w:r>
    </w:p>
    <w:p>
      <w:pPr>
        <w:pStyle w:val="P3"/>
        <w:ind w:hanging="709" w:left="709"/>
        <w:jc w:val="both"/>
        <w:rPr>
          <w:rFonts w:cs="Times New Roman"/>
          <w:sz w:val="24"/>
          <w:szCs w:val="24"/>
          <w:position w:val="6"/>
        </w:rPr>
      </w:pPr>
      <w:r>
        <w:rPr>
          <w:rFonts w:cs="Times New Roman"/>
          <w:b w:val="1"/>
          <w:bCs w:val="1"/>
          <w:sz w:val="24"/>
          <w:szCs w:val="24"/>
          <w:u w:val="single"/>
        </w:rPr>
        <w:t>Art.2:</w:t>
      </w:r>
      <w:r>
        <w:rPr>
          <w:rFonts w:cs="Times New Roman"/>
          <w:b w:val="1"/>
          <w:bCs w:val="1"/>
          <w:sz w:val="24"/>
          <w:szCs w:val="24"/>
        </w:rPr>
        <w:t xml:space="preserve"> AUTORIZAR</w:t>
      </w:r>
      <w:r>
        <w:rPr>
          <w:rFonts w:cs="Times New Roman"/>
          <w:sz w:val="24"/>
          <w:szCs w:val="24"/>
        </w:rPr>
        <w:t xml:space="preserve"> al Departamento Ejecutivo a la firma del Convenio de Cesión de Derechos cuyo modelo forma parte de la presente, en los términos de la Ordenanza N</w:t>
      </w:r>
      <w:r>
        <w:rPr>
          <w:rFonts w:cs="Times New Roman"/>
          <w:sz w:val="24"/>
          <w:szCs w:val="24"/>
          <w:position w:val="6"/>
        </w:rPr>
        <w:t xml:space="preserve">° </w:t>
      </w:r>
      <w:r>
        <w:rPr>
          <w:rFonts w:cs="Times New Roman"/>
          <w:sz w:val="24"/>
          <w:szCs w:val="24"/>
        </w:rPr>
        <w:t>7501 y los antecedentes existentes en el Expediente N° 264/I/06.</w:t>
      </w:r>
      <w:r>
        <w:rPr>
          <w:rFonts w:cs="Times New Roman"/>
          <w:sz w:val="24"/>
          <w:szCs w:val="24"/>
          <w:position w:val="6"/>
        </w:rPr>
        <w:t xml:space="preserve"> </w:t>
        <w:br w:type="textWrapping"/>
      </w:r>
    </w:p>
    <w:p>
      <w:pPr>
        <w:pStyle w:val="P3"/>
        <w:ind w:hanging="709" w:left="709"/>
        <w:jc w:val="both"/>
        <w:rPr>
          <w:rFonts w:cs="Times New Roman"/>
          <w:sz w:val="24"/>
          <w:szCs w:val="24"/>
        </w:rPr>
      </w:pPr>
      <w:r>
        <w:rPr>
          <w:rFonts w:cs="Times New Roman"/>
          <w:b w:val="1"/>
          <w:bCs w:val="1"/>
          <w:sz w:val="24"/>
          <w:szCs w:val="24"/>
          <w:u w:val="single"/>
        </w:rPr>
        <w:t>Art.3:</w:t>
      </w:r>
      <w:r>
        <w:rPr>
          <w:rFonts w:cs="Times New Roman"/>
          <w:b w:val="1"/>
          <w:bCs w:val="1"/>
          <w:sz w:val="24"/>
          <w:szCs w:val="24"/>
        </w:rPr>
        <w:t xml:space="preserve"> LA</w:t>
      </w:r>
      <w:r>
        <w:rPr>
          <w:rFonts w:cs="Times New Roman"/>
          <w:sz w:val="24"/>
          <w:szCs w:val="24"/>
        </w:rPr>
        <w:t xml:space="preserve"> presente Ordenanza tiene vigencia a partir de la fecha de su promulgación, en un todo de conformidad al Art. 24 de la Carta Orgánica Municipal.</w:t>
        <w:br w:type="textWrapping"/>
      </w:r>
    </w:p>
    <w:p>
      <w:pPr>
        <w:pStyle w:val="P3"/>
        <w:ind w:hanging="709" w:left="709"/>
        <w:jc w:val="both"/>
        <w:rPr>
          <w:rFonts w:cs="Times New Roman"/>
          <w:sz w:val="24"/>
          <w:szCs w:val="24"/>
        </w:rPr>
      </w:pPr>
      <w:r>
        <w:rPr>
          <w:rFonts w:cs="Times New Roman"/>
          <w:b w:val="1"/>
          <w:bCs w:val="1"/>
          <w:sz w:val="24"/>
          <w:szCs w:val="24"/>
          <w:u w:val="single"/>
        </w:rPr>
        <w:t>Art.4:</w:t>
      </w:r>
      <w:r>
        <w:rPr>
          <w:rFonts w:cs="Times New Roman"/>
          <w:b w:val="1"/>
          <w:bCs w:val="1"/>
          <w:sz w:val="24"/>
          <w:szCs w:val="24"/>
        </w:rPr>
        <w:t xml:space="preserve"> PROTOCOLÍCESE</w:t>
      </w:r>
      <w:r>
        <w:rPr>
          <w:rFonts w:cs="Times New Roman"/>
          <w:sz w:val="24"/>
          <w:szCs w:val="24"/>
        </w:rPr>
        <w:t>, comuníquese, publíquese en el Boletín Oficial de la ciudad de Alta Gracia, transcríbase al Libro de Ordenanzas y archívese.</w:t>
        <w:br w:type="textWrapping"/>
      </w:r>
    </w:p>
    <w:p>
      <w:pPr>
        <w:pStyle w:val="P3"/>
        <w:jc w:val="both"/>
        <w:rPr>
          <w:rFonts w:cs="Times New Roman"/>
          <w:b w:val="1"/>
          <w:bCs w:val="1"/>
          <w:sz w:val="24"/>
          <w:szCs w:val="24"/>
        </w:rPr>
      </w:pPr>
      <w:r>
        <w:rPr>
          <w:rFonts w:cs="Times New Roman"/>
          <w:b w:val="1"/>
          <w:bCs w:val="1"/>
          <w:sz w:val="24"/>
          <w:szCs w:val="24"/>
        </w:rPr>
        <w:t>DADA EN LA SALA DE SESIONES DEL HONORABLE CONCEJO DELIBERANTE A LOS DOCE DÍAS DEL MES DE JULIO DEL AÑO DOS MIL SIETE.</w:t>
        <w:br w:type="textWrapping"/>
      </w:r>
    </w:p>
    <w:p>
      <w:pPr>
        <w:pStyle w:val="P3"/>
        <w:jc w:val="right"/>
        <w:rPr>
          <w:rFonts w:cs="Times New Roman"/>
          <w:sz w:val="22"/>
          <w:szCs w:val="22"/>
        </w:rPr>
      </w:pPr>
      <w:r>
        <w:rPr>
          <w:rFonts w:cs="Times New Roman"/>
          <w:sz w:val="24"/>
          <w:szCs w:val="24"/>
        </w:rPr>
        <w:t>...///</w:t>
      </w:r>
      <w:r>
        <w:rPr>
          <w:rFonts w:cs="Times New Roman"/>
          <w:sz w:val="22"/>
          <w:szCs w:val="22"/>
        </w:rPr>
        <w:br w:type="page"/>
      </w:r>
    </w:p>
    <w:p>
      <w:pPr>
        <w:pStyle w:val="P3"/>
        <w:jc w:val="both"/>
        <w:rPr>
          <w:rFonts w:cs="Times New Roman"/>
          <w:sz w:val="22"/>
          <w:szCs w:val="22"/>
        </w:rPr>
      </w:pPr>
    </w:p>
    <w:p>
      <w:pPr>
        <w:pStyle w:val="P3"/>
        <w:jc w:val="both"/>
        <w:rPr>
          <w:rFonts w:cs="Times New Roman"/>
          <w:sz w:val="22"/>
          <w:szCs w:val="22"/>
        </w:rPr>
      </w:pPr>
    </w:p>
    <w:p>
      <w:pPr>
        <w:pStyle w:val="P3"/>
        <w:jc w:val="both"/>
        <w:rPr>
          <w:rFonts w:cs="Times New Roman"/>
          <w:sz w:val="22"/>
          <w:szCs w:val="22"/>
        </w:rPr>
      </w:pPr>
      <w:r>
        <w:rPr>
          <w:rFonts w:cs="Times New Roman"/>
          <w:sz w:val="22"/>
          <w:szCs w:val="22"/>
        </w:rPr>
        <w:t>...///3.-</w:t>
      </w:r>
      <w:r>
        <w:rPr>
          <w:rFonts w:cs="Times New Roman"/>
          <w:b w:val="1"/>
          <w:bCs w:val="1"/>
          <w:sz w:val="22"/>
          <w:szCs w:val="22"/>
          <w:u w:val="single"/>
        </w:rPr>
        <w:br w:type="textWrapping"/>
        <w:t>CONVENIO DE CESION DE DERECHOS</w:t>
        <w:br w:type="textWrapping"/>
      </w:r>
      <w:r>
        <w:rPr>
          <w:rFonts w:cs="Times New Roman"/>
          <w:sz w:val="22"/>
          <w:szCs w:val="22"/>
        </w:rPr>
        <w:br w:type="textWrapping"/>
        <w:t xml:space="preserve">Entre la Municipalidad de Alta Gracia, representada por el Sr. Intendente Municipal Lic. MARIO ALBERTO BONFIGLI, D.N.I. N° 13.384.609, con domicilio especial en Belgrano N° 15 de la ciudad de Alta Gracia, por una parte y en adelante “LA MUNICIPALIDAD” y por la otra, .............”,  con domicilio en calle ........... de la Ciudad de Alta Gracia, en adelante “EL PROYECTISTA/COMPRADOR” se resuelve firmar el presente compromiso de compra-venta: - - - - - - - - - - - - - - - - - - - - - - - - - </w:t>
        <w:br w:type="textWrapping"/>
      </w:r>
      <w:r>
        <w:rPr>
          <w:rFonts w:cs="Times New Roman"/>
          <w:b w:val="1"/>
          <w:bCs w:val="1"/>
          <w:sz w:val="22"/>
          <w:szCs w:val="22"/>
          <w:u w:val="single"/>
        </w:rPr>
        <w:t>PRIMERA</w:t>
      </w:r>
      <w:r>
        <w:rPr>
          <w:rFonts w:cs="Times New Roman"/>
          <w:sz w:val="22"/>
          <w:szCs w:val="22"/>
        </w:rPr>
        <w:t xml:space="preserve">: LA MUNICIPALIDAD cede todos sus derechos y compromete transferir, y el PROYECTISTA/COMPRADOR acepta, los Lotes descriptos como lotes 10 al 17 del loteo correspondiente al Sector Oeste de una superficie mayor denominado predio “SOLARES DEL PALMAR”, ubicado en la Ciudad de Alta Gracia, sobre la Ruta Provincial C-45, que linda al Norte con calle Monseñor Jesús Roldán, al Este con Ruta Provincial C-45, al Oeste con las calles Las Flores y Los Crisantemos, y al Sur con calle Rawson. Los Lotes descriptos y comprometidos en venta se ajustan a lo dispuesto en la Ordenanza Nº 7501, sancionada por el Honorable Concejo Deliberante con fecha 29/06/06, promulgada por Decreto Nº 917/06 del 7/07/06, que junto con el croquis del Plano Provisorio de subdivisión forman parte del presente pre-acuerdo, de tal forma que la superficie comprometida es de ......................... metros cuadrados. - - - - - - - - - - - - - - - - - - - - - - - - </w:t>
        <w:br w:type="textWrapping"/>
      </w:r>
      <w:r>
        <w:rPr>
          <w:rFonts w:cs="Times New Roman"/>
          <w:b w:val="1"/>
          <w:bCs w:val="1"/>
          <w:sz w:val="22"/>
          <w:szCs w:val="22"/>
          <w:u w:val="single"/>
        </w:rPr>
        <w:t>SE</w:t>
      </w:r>
      <w:r>
        <w:rPr>
          <w:rFonts w:cs="Times New Roman"/>
          <w:b w:val="1"/>
          <w:bCs w:val="1"/>
          <w:sz w:val="22"/>
          <w:szCs w:val="22"/>
          <w:u w:val="single"/>
        </w:rPr>
        <w:t>GUNDA:</w:t>
      </w:r>
      <w:r>
        <w:rPr>
          <w:rFonts w:cs="Times New Roman"/>
          <w:sz w:val="22"/>
          <w:szCs w:val="22"/>
        </w:rPr>
        <w:t xml:space="preserve"> Los lotes comprometidos en venta mediante el presente acuerdo, deberán ser destinados exclusivamente a la realización del Emprendimiento Turístico Hotelero: “Cabañas del Palmar”. Todo el proyecto responde a la propuesta formulada por EL PROYECTISTA, obrante en Expediente Nº 264/I/06, que forma parte del presente convenio y tiene valor específico en caso de interpretación a futuro, con proyectos y finales de obra conforme a directivas de las Áreas Municipales de Secretaría de Obras y Servicios Públicos y Dirección de Turismo respectivamente. - - - - - - - - - - - - - </w:t>
        <w:br w:type="textWrapping"/>
      </w:r>
      <w:r>
        <w:rPr>
          <w:rFonts w:cs="Times New Roman"/>
          <w:b w:val="1"/>
          <w:bCs w:val="1"/>
          <w:sz w:val="22"/>
          <w:szCs w:val="22"/>
          <w:u w:val="single"/>
        </w:rPr>
        <w:t>TERCERA</w:t>
      </w:r>
      <w:r>
        <w:rPr>
          <w:rFonts w:cs="Times New Roman"/>
          <w:sz w:val="22"/>
          <w:szCs w:val="22"/>
        </w:rPr>
        <w:t xml:space="preserve">: El precio de la venta fijado mediante Ordenanza Nº 7501, es de DOLARES TREINTA  MIL (U$S 30.000) la hectárea, por lo que la superficie descripta y cedida en venta en la cláusula PRIMERA del presente, se cotiza en la suma de $..................., a pagarse de la siguiente manera: el 30 % a la firma del presente contrato, y el saldo en los siguientes plazos:</w:t>
        <w:br w:type="textWrapping"/>
        <w:t>Un treinta y cinco por ciento (35%) a los doce (12) meses de la firma del presente contrato;</w:t>
        <w:br w:type="textWrapping"/>
        <w:t>El treinta y cinco por ciento (35%) restante a los veinticuatro (24) meses de la firma del presente contrato.</w:t>
        <w:br w:type="textWrapping"/>
      </w:r>
      <w:r>
        <w:rPr>
          <w:rFonts w:cs="Times New Roman"/>
          <w:b w:val="1"/>
          <w:bCs w:val="1"/>
          <w:sz w:val="22"/>
          <w:szCs w:val="22"/>
          <w:u w:val="single"/>
        </w:rPr>
        <w:t>CUARTA</w:t>
      </w:r>
      <w:r>
        <w:rPr>
          <w:rFonts w:cs="Times New Roman"/>
          <w:sz w:val="22"/>
          <w:szCs w:val="22"/>
        </w:rPr>
        <w:t xml:space="preserve">: LA MUNICIPALIDAD se compromete a contar con la consiguiente subdivisión, para la inmediata transmisión a favor de cada PROYECTISTA/COMPRADOR del dominio sobre los lotes </w:t>
      </w:r>
    </w:p>
    <w:p>
      <w:pPr>
        <w:pStyle w:val="P3"/>
        <w:jc w:val="right"/>
        <w:rPr>
          <w:rFonts w:cs="Times New Roman"/>
          <w:sz w:val="22"/>
          <w:szCs w:val="22"/>
        </w:rPr>
      </w:pPr>
      <w:r>
        <w:rPr>
          <w:rFonts w:cs="Times New Roman"/>
          <w:sz w:val="22"/>
          <w:szCs w:val="22"/>
        </w:rPr>
        <w:t>...///</w:t>
      </w:r>
    </w:p>
    <w:p>
      <w:pPr>
        <w:pStyle w:val="P3"/>
        <w:jc w:val="both"/>
        <w:rPr>
          <w:rFonts w:cs="Times New Roman"/>
          <w:sz w:val="22"/>
          <w:szCs w:val="22"/>
        </w:rPr>
      </w:pPr>
    </w:p>
    <w:p>
      <w:pPr>
        <w:pStyle w:val="P3"/>
        <w:jc w:val="both"/>
        <w:rPr>
          <w:rFonts w:cs="Times New Roman"/>
          <w:sz w:val="22"/>
          <w:szCs w:val="22"/>
        </w:rPr>
      </w:pPr>
    </w:p>
    <w:p>
      <w:pPr>
        <w:pStyle w:val="P3"/>
        <w:jc w:val="both"/>
        <w:rPr>
          <w:rFonts w:cs="Times New Roman"/>
          <w:sz w:val="22"/>
          <w:szCs w:val="22"/>
        </w:rPr>
      </w:pPr>
    </w:p>
    <w:p>
      <w:pPr>
        <w:pStyle w:val="P3"/>
        <w:jc w:val="both"/>
        <w:rPr>
          <w:rFonts w:cs="Times New Roman"/>
          <w:sz w:val="22"/>
          <w:szCs w:val="22"/>
        </w:rPr>
      </w:pPr>
    </w:p>
    <w:p>
      <w:pPr>
        <w:pStyle w:val="P3"/>
        <w:jc w:val="both"/>
        <w:rPr>
          <w:rFonts w:cs="Times New Roman"/>
          <w:sz w:val="22"/>
          <w:szCs w:val="22"/>
        </w:rPr>
      </w:pPr>
    </w:p>
    <w:p>
      <w:pPr>
        <w:pStyle w:val="P3"/>
        <w:jc w:val="both"/>
        <w:rPr>
          <w:rFonts w:cs="Times New Roman"/>
          <w:sz w:val="22"/>
          <w:szCs w:val="22"/>
        </w:rPr>
      </w:pPr>
    </w:p>
    <w:p>
      <w:pPr>
        <w:pStyle w:val="P3"/>
        <w:jc w:val="both"/>
        <w:rPr>
          <w:rFonts w:cs="Times New Roman"/>
          <w:sz w:val="22"/>
          <w:szCs w:val="22"/>
        </w:rPr>
      </w:pPr>
      <w:r>
        <w:rPr>
          <w:rFonts w:cs="Times New Roman"/>
          <w:sz w:val="22"/>
          <w:szCs w:val="22"/>
        </w:rPr>
        <w:t>...///4.-</w:t>
      </w:r>
    </w:p>
    <w:p>
      <w:pPr>
        <w:pStyle w:val="P3"/>
        <w:jc w:val="both"/>
        <w:rPr>
          <w:rFonts w:cs="Times New Roman"/>
          <w:sz w:val="22"/>
          <w:szCs w:val="22"/>
        </w:rPr>
      </w:pPr>
      <w:r>
        <w:rPr>
          <w:rFonts w:cs="Times New Roman"/>
          <w:sz w:val="22"/>
          <w:szCs w:val="22"/>
        </w:rPr>
        <w:t xml:space="preserve">comprometidos luego de inscripto el predio referido a nombre de la MUNICIPALIDAD DE ALTA GRACIA, en el plazo de un (1) año a partir de la fecha de la titularidad dominial del Predio “SOLARES DEL PALMAR” que fuera adquirido por la Municipalidad de Alta Gracia en autos “Compañía de Tierras y Hoteles de Alta Gracia S.A. s/ Quiebra-Incidente de realización de inmuebles (sitos en Córdoba)”, y cuya tramitación de inscripción y situación jurídico EL PROYECTISTA/COMPRADOR declara en este acto conocer y aceptar. - - </w:t>
        <w:br w:type="textWrapping"/>
      </w:r>
      <w:r>
        <w:rPr>
          <w:rFonts w:cs="Times New Roman"/>
          <w:b w:val="1"/>
          <w:bCs w:val="1"/>
          <w:sz w:val="22"/>
          <w:szCs w:val="22"/>
          <w:u w:val="single"/>
        </w:rPr>
        <w:t>QUINTA</w:t>
      </w:r>
      <w:r>
        <w:rPr>
          <w:rFonts w:cs="Times New Roman"/>
          <w:sz w:val="22"/>
          <w:szCs w:val="22"/>
        </w:rPr>
        <w:t>: EL PROYECTISTA/COMPRADOR deberá culminar las obras en el plazo de máximo de . . . . . meses estipulando para ello distintas etapas de obra:</w:t>
      </w:r>
      <w:r>
        <w:rPr>
          <w:rFonts w:cs="Times New Roman"/>
          <w:b w:val="1"/>
          <w:bCs w:val="1"/>
          <w:sz w:val="22"/>
          <w:szCs w:val="22"/>
        </w:rPr>
        <w:t xml:space="preserve"> I.- La Primera Etapa</w:t>
      </w:r>
      <w:r>
        <w:rPr>
          <w:rFonts w:cs="Times New Roman"/>
          <w:sz w:val="22"/>
          <w:szCs w:val="22"/>
        </w:rPr>
        <w:t xml:space="preserve"> consistirá en la construcción de ......, debiendo culminarse en los primeros veinticuatro (24) meses convenidos, a contar desde la entrega por parte de la Agencia Córdoba Turismo de la respectiva factibilidad al proyecto, y en el caso de incumplimiento de las obras en el plazo fijado, quedará sin efecto la venta y será de ningún valor el presente compromiso de compra-venta, retrotrayendo todos sus efectos a la fecha de suscripción, con pérdida de lo abonado y las mejoras hechas al predio en referencia a la compra promocionada. </w:t>
      </w:r>
      <w:r>
        <w:rPr>
          <w:rFonts w:cs="Times New Roman"/>
          <w:b w:val="1"/>
          <w:bCs w:val="1"/>
          <w:sz w:val="22"/>
          <w:szCs w:val="22"/>
        </w:rPr>
        <w:t>II.- En la Segunda Etapa</w:t>
      </w:r>
      <w:r>
        <w:rPr>
          <w:rFonts w:cs="Times New Roman"/>
          <w:sz w:val="22"/>
          <w:szCs w:val="22"/>
        </w:rPr>
        <w:t xml:space="preserve"> consistirá en la construcción de......, en el plazo máximo de.............. meses,  contados a partir de la certificación de obra de la Primera Etapa, caso contrario quedará sin efecto el presente compromiso de compra-venta de los lotes en cuestión, con los mismo efectos y consecuencias detallados en la Primera Etapa. - </w:t>
      </w:r>
      <w:r>
        <w:rPr>
          <w:rFonts w:cs="Times New Roman"/>
          <w:b w:val="1"/>
          <w:bCs w:val="1"/>
          <w:sz w:val="22"/>
          <w:szCs w:val="22"/>
        </w:rPr>
        <w:t xml:space="preserve">III.- En la Tercera Etapa </w:t>
      </w:r>
      <w:r>
        <w:rPr>
          <w:rFonts w:cs="Times New Roman"/>
          <w:sz w:val="22"/>
          <w:szCs w:val="22"/>
        </w:rPr>
        <w:t xml:space="preserve">consistirá en la construcción de.........., en el plazo máximo de.......meses, contados a partir de la certificación de Obra de la Segunda Etapa, caso contrario quedará sin efecto el presente compromiso de compra-venta de los lotes en cuestión, con los mismos efectos y consecuencias detallados en la Primera Etapa. - - - - - - - - - -  </w:t>
      </w:r>
    </w:p>
    <w:p>
      <w:pPr>
        <w:pStyle w:val="P3"/>
        <w:jc w:val="both"/>
        <w:rPr>
          <w:rFonts w:cs="Times New Roman"/>
          <w:sz w:val="22"/>
          <w:szCs w:val="22"/>
        </w:rPr>
      </w:pPr>
      <w:r>
        <w:rPr>
          <w:rFonts w:cs="Times New Roman"/>
          <w:sz w:val="22"/>
          <w:szCs w:val="22"/>
        </w:rPr>
        <w:t xml:space="preserve">No cumplidos los plazos por parte del PROYECTISTA/COMPRADOR la MUNICIPALIDAD podrá intimarlo a su inmediato cumplimiento en 15 días y en carácter de único aviso, no significando esta intimación un nuevo plazo o prórroga del tiempo de realización de la etapa, sino que vencido el término establecido para cada una de ellas y de la intimación, surtirá los efectos del incumplimiento establecidos en todas y cada una de las etapas. - - - - - - - - - </w:t>
      </w:r>
    </w:p>
    <w:p>
      <w:pPr>
        <w:pStyle w:val="P3"/>
        <w:jc w:val="both"/>
        <w:rPr>
          <w:rFonts w:cs="Times New Roman"/>
          <w:sz w:val="22"/>
          <w:szCs w:val="22"/>
        </w:rPr>
      </w:pPr>
      <w:r>
        <w:rPr>
          <w:rFonts w:cs="Times New Roman"/>
          <w:b w:val="1"/>
          <w:bCs w:val="1"/>
          <w:sz w:val="22"/>
          <w:szCs w:val="22"/>
          <w:u w:val="single"/>
        </w:rPr>
        <w:t>SEXTA</w:t>
      </w:r>
      <w:r>
        <w:rPr>
          <w:rFonts w:cs="Times New Roman"/>
          <w:sz w:val="22"/>
          <w:szCs w:val="22"/>
        </w:rPr>
        <w:t xml:space="preserve">: RESPONSABILIDAD DEL COMPRADOR: 1) En toda la etapa de construcción, y hasta tanto resulte titular del dominio sobre el predio vendido  el PROYECTISTA/COMPRADOR deberá cumplir con las normas de seguridad en la construcción, cumplir las normas laborales y contratar seguros sobre el personal que trabaje en el predio. 2) Hasta tanto resulte titular de dominio el PROYECTISTA/COMPRADOR, éste será responsable de los daños y perjuicios ocasionados a los terrenos en el predio y/o los ocasionados con motivo de las tareas en él realizadas. En caso de reclamo de un tercero a la vendedora, ésta podrá convocar al comprador como tercero interesado en el juicio. - - - - - - - - - </w:t>
      </w:r>
    </w:p>
    <w:p>
      <w:pPr>
        <w:pStyle w:val="P3"/>
        <w:jc w:val="right"/>
        <w:rPr>
          <w:rFonts w:cs="Times New Roman"/>
          <w:sz w:val="22"/>
          <w:szCs w:val="22"/>
        </w:rPr>
      </w:pPr>
      <w:r>
        <w:rPr>
          <w:rFonts w:cs="Times New Roman"/>
          <w:sz w:val="22"/>
          <w:szCs w:val="22"/>
        </w:rPr>
        <w:t>...///</w:t>
      </w:r>
    </w:p>
    <w:p>
      <w:pPr>
        <w:pStyle w:val="P3"/>
        <w:jc w:val="both"/>
        <w:rPr>
          <w:rFonts w:cs="Times New Roman"/>
          <w:b w:val="1"/>
          <w:bCs w:val="1"/>
          <w:sz w:val="22"/>
          <w:szCs w:val="22"/>
          <w:u w:val="single"/>
        </w:rPr>
      </w:pPr>
    </w:p>
    <w:p>
      <w:pPr>
        <w:pStyle w:val="P3"/>
        <w:jc w:val="both"/>
        <w:rPr>
          <w:rFonts w:cs="Times New Roman"/>
          <w:b w:val="1"/>
          <w:bCs w:val="1"/>
          <w:sz w:val="22"/>
          <w:szCs w:val="22"/>
          <w:u w:val="single"/>
        </w:rPr>
      </w:pPr>
    </w:p>
    <w:p>
      <w:pPr>
        <w:pStyle w:val="P3"/>
        <w:jc w:val="both"/>
        <w:rPr>
          <w:rFonts w:cs="Times New Roman"/>
          <w:b w:val="1"/>
          <w:bCs w:val="1"/>
          <w:sz w:val="22"/>
          <w:szCs w:val="22"/>
          <w:u w:val="single"/>
        </w:rPr>
      </w:pPr>
    </w:p>
    <w:p>
      <w:pPr>
        <w:pStyle w:val="P3"/>
        <w:jc w:val="both"/>
        <w:rPr>
          <w:rFonts w:cs="Times New Roman"/>
          <w:b w:val="1"/>
          <w:bCs w:val="1"/>
          <w:sz w:val="22"/>
          <w:szCs w:val="22"/>
          <w:u w:val="single"/>
        </w:rPr>
      </w:pPr>
    </w:p>
    <w:p>
      <w:pPr>
        <w:pStyle w:val="P3"/>
        <w:jc w:val="both"/>
        <w:rPr>
          <w:rFonts w:cs="Times New Roman"/>
          <w:b w:val="1"/>
          <w:bCs w:val="1"/>
          <w:sz w:val="22"/>
          <w:szCs w:val="22"/>
          <w:u w:val="single"/>
        </w:rPr>
      </w:pPr>
    </w:p>
    <w:p>
      <w:pPr>
        <w:pStyle w:val="P3"/>
        <w:jc w:val="both"/>
        <w:rPr>
          <w:rFonts w:cs="Times New Roman"/>
          <w:sz w:val="22"/>
          <w:szCs w:val="22"/>
        </w:rPr>
      </w:pPr>
      <w:r>
        <w:rPr>
          <w:rFonts w:cs="Times New Roman"/>
          <w:sz w:val="22"/>
          <w:szCs w:val="22"/>
        </w:rPr>
        <w:t>...///5.-</w:t>
      </w:r>
    </w:p>
    <w:p>
      <w:pPr>
        <w:pStyle w:val="P3"/>
        <w:jc w:val="both"/>
        <w:rPr>
          <w:rFonts w:cs="Times New Roman"/>
          <w:sz w:val="22"/>
          <w:szCs w:val="22"/>
        </w:rPr>
      </w:pPr>
      <w:r>
        <w:rPr>
          <w:rFonts w:cs="Times New Roman"/>
          <w:b w:val="1"/>
          <w:bCs w:val="1"/>
          <w:sz w:val="22"/>
          <w:szCs w:val="22"/>
          <w:u w:val="single"/>
        </w:rPr>
        <w:t>SEPTIMA</w:t>
      </w:r>
      <w:r>
        <w:rPr>
          <w:rFonts w:cs="Times New Roman"/>
          <w:sz w:val="22"/>
          <w:szCs w:val="22"/>
        </w:rPr>
        <w:t xml:space="preserve">: LA MUNICIPALIDAD garantizará la provisión de los servicios de agua y electricidad para cada PROYECTISTA/COMPRADOR, gestionando la factibilidad de los servicios de gas y cloacas. Incluirá el predio en los servicios de barrido, alumbrado y mantenimiento de calles y facilitará el servicio de agua y electricidad al inicio de la construcción comprometida. - - - - - </w:t>
      </w:r>
    </w:p>
    <w:p>
      <w:pPr>
        <w:pStyle w:val="P3"/>
        <w:jc w:val="both"/>
        <w:rPr>
          <w:rFonts w:cs="Times New Roman"/>
          <w:sz w:val="22"/>
          <w:szCs w:val="22"/>
        </w:rPr>
      </w:pPr>
      <w:r>
        <w:rPr>
          <w:rFonts w:cs="Times New Roman"/>
          <w:b w:val="1"/>
          <w:bCs w:val="1"/>
          <w:sz w:val="22"/>
          <w:szCs w:val="22"/>
          <w:u w:val="single"/>
        </w:rPr>
        <w:t>OCTAVA</w:t>
      </w:r>
      <w:r>
        <w:rPr>
          <w:rFonts w:cs="Times New Roman"/>
          <w:sz w:val="22"/>
          <w:szCs w:val="22"/>
        </w:rPr>
        <w:t xml:space="preserve">: LA MUNICIPALIDAD mantendrá las calles de tierra, salvo que por iniciativa de los vecinos se proceda a su pavimentación. - - - </w:t>
      </w:r>
    </w:p>
    <w:p>
      <w:pPr>
        <w:pStyle w:val="P3"/>
        <w:jc w:val="both"/>
        <w:rPr>
          <w:rFonts w:cs="Times New Roman"/>
          <w:sz w:val="22"/>
          <w:szCs w:val="22"/>
        </w:rPr>
      </w:pPr>
      <w:r>
        <w:rPr>
          <w:rFonts w:cs="Times New Roman"/>
          <w:b w:val="1"/>
          <w:bCs w:val="1"/>
          <w:sz w:val="22"/>
          <w:szCs w:val="22"/>
          <w:u w:val="single"/>
        </w:rPr>
        <w:t>NOVENA</w:t>
      </w:r>
      <w:r>
        <w:rPr>
          <w:rFonts w:cs="Times New Roman"/>
          <w:sz w:val="22"/>
          <w:szCs w:val="22"/>
        </w:rPr>
        <w:t xml:space="preserve">: El control del avance de las obras estará a cargo de la Secretaría de Obras y servicios Públicos de LA MUNICIPALIDAD. - - </w:t>
      </w:r>
    </w:p>
    <w:p>
      <w:pPr>
        <w:pStyle w:val="P3"/>
        <w:jc w:val="both"/>
        <w:rPr>
          <w:rFonts w:cs="Times New Roman"/>
          <w:sz w:val="22"/>
          <w:szCs w:val="22"/>
        </w:rPr>
      </w:pPr>
      <w:r>
        <w:rPr>
          <w:rFonts w:cs="Times New Roman"/>
          <w:b w:val="1"/>
          <w:bCs w:val="1"/>
          <w:sz w:val="22"/>
          <w:szCs w:val="22"/>
          <w:u w:val="single"/>
        </w:rPr>
        <w:t>DECIMA</w:t>
      </w:r>
      <w:r>
        <w:rPr>
          <w:rFonts w:cs="Times New Roman"/>
          <w:sz w:val="22"/>
          <w:szCs w:val="22"/>
        </w:rPr>
        <w:t xml:space="preserve">: Las partes de común acuerdo establecen que la firma de la escritura de dominio de los lotes comprometidos no se realizará antes de entregarse el final de obra al PROYECTISTA / COMPRADOR  y su completa habilitación. Sin perjuicio de lo cual, ante la solicitud del PROYECTISTA/COMPRADOR se podrá negociar la escrituración en forma anticipada a lo fijado supra, siempre y cuando éste garantice en forma suficiente y a criterio y exigencia de la MUNICIPALIDAD DE ALTA GRACIA, el cumplimiento del total del proyecto.- - - - - - - - - - - - - - - - - - - - - - - - - - - - - </w:t>
      </w:r>
    </w:p>
    <w:p>
      <w:pPr>
        <w:pStyle w:val="P3"/>
        <w:jc w:val="both"/>
        <w:rPr>
          <w:rFonts w:cs="Times New Roman"/>
          <w:sz w:val="22"/>
          <w:szCs w:val="22"/>
        </w:rPr>
      </w:pPr>
      <w:r>
        <w:rPr>
          <w:rFonts w:cs="Times New Roman"/>
          <w:b w:val="1"/>
          <w:bCs w:val="1"/>
          <w:sz w:val="22"/>
          <w:szCs w:val="22"/>
          <w:u w:val="single"/>
        </w:rPr>
        <w:t>DECIMAPRIMERA</w:t>
      </w:r>
      <w:r>
        <w:rPr>
          <w:rFonts w:cs="Times New Roman"/>
          <w:sz w:val="22"/>
          <w:szCs w:val="22"/>
        </w:rPr>
        <w:t xml:space="preserve">: El PROYECTISTA / COMPRADOR se encuentra impedido de transferir por cualquier medio los lotes comprometidos en venta mediante el presente acuerdo, hasta transcurridos cinco (5) años a contar de la habilitación municipal del emprendimiento. La transferencia sólo se podrá efectuar si se continua con el mismo destino de alojamiento o servicio turístico. - - - - - - - - - - - </w:t>
      </w:r>
    </w:p>
    <w:p>
      <w:pPr>
        <w:pStyle w:val="P3"/>
        <w:jc w:val="both"/>
        <w:rPr>
          <w:rFonts w:cs="Times New Roman"/>
          <w:sz w:val="22"/>
          <w:szCs w:val="22"/>
        </w:rPr>
      </w:pPr>
      <w:r>
        <w:rPr>
          <w:rFonts w:cs="Times New Roman"/>
          <w:b w:val="1"/>
          <w:bCs w:val="1"/>
          <w:sz w:val="22"/>
          <w:szCs w:val="22"/>
          <w:u w:val="single"/>
        </w:rPr>
        <w:t>DECIMASEGUNDA</w:t>
      </w:r>
      <w:r>
        <w:rPr>
          <w:rFonts w:cs="Times New Roman"/>
          <w:sz w:val="22"/>
          <w:szCs w:val="22"/>
        </w:rPr>
        <w:t xml:space="preserve">: Los firmantes dejan constituidos sus domicilios legales en los indicados ut-supra para todos los efectos judiciales o extrajudiciales derivados de este contrato y se someten voluntariamente a la jurisdicción de los Tribunales Ordinarios de la ciudad de Alta Gracia, renuncian expresamente al Fuero Federal y/o cualquier otro que pudiera corresponderles. - - </w:t>
      </w:r>
    </w:p>
    <w:p>
      <w:pPr>
        <w:pStyle w:val="P3"/>
        <w:jc w:val="both"/>
        <w:rPr>
          <w:rFonts w:cs="Times New Roman"/>
          <w:sz w:val="22"/>
          <w:szCs w:val="22"/>
        </w:rPr>
      </w:pPr>
      <w:r>
        <w:rPr>
          <w:rFonts w:cs="Times New Roman"/>
          <w:sz w:val="22"/>
          <w:szCs w:val="22"/>
        </w:rPr>
        <w:t xml:space="preserve">En prueba de conformidad se firman (3) tres ejemplares de un mismo tenor y a un solo efecto en la ciudad de Alta Gracia, a los ............ días del mes de ................ del año dos mil siete. - - - - - - - - - - - - - - - - - - - - - - - - - - - - - - </w:t>
      </w:r>
    </w:p>
    <w:p>
      <w:pPr>
        <w:widowControl w:val="0"/>
        <w:jc w:val="both"/>
        <w:rPr>
          <w:rFonts w:ascii="Courier New" w:hAnsi="Courier New" w:cs="Courier New"/>
          <w:sz w:val="22"/>
          <w:szCs w:val="22"/>
          <w:lang w:val="es-AR"/>
        </w:rPr>
      </w:pPr>
    </w:p>
    <w:sectPr>
      <w:type w:val="continuous"/>
      <w:pgSz w:w="11907" w:h="16840" w:code="0"/>
      <w:pgMar w:left="1701" w:right="1418" w:top="1701" w:bottom="1418" w:header="720" w:footer="720" w:gutter="0"/>
      <w:noEndnote/>
    </w:sectPr>
  </w:body>
</w:document>
</file>

<file path=word/numbering.xml><?xml version="1.0" encoding="utf-8"?>
<w:numbering xmlns:w="http://schemas.openxmlformats.org/wordprocessingml/2006/main">
  <w:abstractNum w:abstractNumId="0">
    <w:nsid w:val="4241689A"/>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num w:numId="1">
    <w:abstractNumId w:val="0"/>
  </w:num>
</w:numbering>
</file>

<file path=word/settings.xml><?xml version="1.0" encoding="utf-8"?>
<w:settings xmlns:r="http://schemas.openxmlformats.org/officeDocument/2006/relationships" xmlns:w="http://schemas.openxmlformats.org/wordprocessingml/2006/main">
  <w:displayBackgroundShape w:val="0"/>
  <w:doNotTrackMoves/>
  <w:doNotTrackFormatting/>
  <w:doNotShadeFormData/>
  <w:bordersDoNotSurroundHeader/>
  <w:bordersDoNotSurroundFooter/>
  <w:defaultTabStop w:val="720"/>
  <w:autoHyphenation w:val="0"/>
  <w:doNotHyphenateCaps w:val="1"/>
  <w:hyphenationZone w:val="425"/>
  <w:evenAndOddHeaders w:val="0"/>
  <w:characterSpacingControl w:val="compressPunctuation"/>
  <w:compat>
    <w:alignTablesRowByRow/>
    <w:splitPgBreakAndParaMark/>
    <w:doNotBreakConstrainedForcedTable/>
    <w:doNotVertAlignCellWithSp/>
    <w:footnoteLayoutLikeWW8/>
    <w:shapeLayoutLikeWW8/>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widowControl w:val="0"/>
      <w:jc w:val="center"/>
      <w:outlineLvl w:val="0"/>
    </w:pPr>
    <w:rPr>
      <w:rFonts w:ascii="Courier New" w:hAnsi="Courier New" w:cs="Courier New"/>
      <w:b w:val="1"/>
      <w:bCs w:val="1"/>
    </w:rPr>
  </w:style>
  <w:style w:type="paragraph" w:styleId="P2">
    <w:name w:val="Title"/>
    <w:basedOn w:val="P0"/>
    <w:next w:val="P2"/>
    <w:pPr>
      <w:widowControl w:val="0"/>
      <w:ind w:hanging="1080" w:left="1080"/>
      <w:jc w:val="center"/>
    </w:pPr>
    <w:rPr>
      <w:rFonts w:ascii="Courier New" w:hAnsi="Courier New" w:cs="Courier New"/>
      <w:b w:val="1"/>
      <w:bCs w:val="1"/>
      <w:u w:val="single"/>
    </w:rPr>
  </w:style>
  <w:style w:type="paragraph" w:styleId="P3">
    <w:name w:val="Plain Text"/>
    <w:basedOn w:val="P0"/>
    <w:next w:val="P3"/>
    <w:pPr/>
    <w:rPr>
      <w:rFonts w:ascii="Courier New" w:hAnsi="Courier New"/>
      <w:sz w:val="20"/>
      <w:szCs w:val="20"/>
      <w:lang w:val="es-A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municipalidad</dc:creator>
  <dcterms:created xsi:type="dcterms:W3CDTF">2026-07-09T18:58:56Z</dcterms:created>
  <cp:lastModifiedBy>Federico Parisi</cp:lastModifiedBy>
  <cp:lastPrinted>2007-07-27T12:50:00Z</cp:lastPrinted>
  <dcterms:modified xsi:type="dcterms:W3CDTF">2026-07-09T18:58:56Z</dcterms:modified>
  <cp:revision>2</cp:revision>
  <dc:title>Visto:</dc:title>
</cp:coreProperties>
</file>