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7812</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1267/01;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7"/>
      </w:pPr>
      <w:r>
        <w:t xml:space="preserve">Que el mismo es iniciado mediante nota presentada por la Sra. Molina Lucía Francisca solicitando eximición de Tasa por Servicios a la Propiedad de la designación catastral 3-01-264-006-000; </w:t>
      </w:r>
    </w:p>
    <w:p>
      <w:pPr>
        <w:ind w:left="709"/>
        <w:jc w:val="both"/>
        <w:rPr>
          <w:rFonts w:ascii="Courier New" w:hAnsi="Courier New"/>
          <w:sz w:val="24"/>
          <w:szCs w:val="24"/>
        </w:rPr>
      </w:pPr>
    </w:p>
    <w:p>
      <w:pPr>
        <w:pStyle w:val="P3"/>
        <w:ind w:left="709"/>
        <w:jc w:val="both"/>
        <w:rPr>
          <w:rFonts w:ascii="Courier New" w:hAnsi="Courier New"/>
        </w:rPr>
      </w:pPr>
      <w:r>
        <w:rPr>
          <w:rFonts w:ascii="Courier New" w:hAnsi="Courier New"/>
        </w:rPr>
        <w:t xml:space="preserve">Que el Expediente se hallaba en la Dirección de Ingresos Públicos desde septiembre de 2003 y la solicitante envía nuevamente otra nota en abril de este año reiterando el pedido y agregando la Identificación 1738 (Cementerio);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solicitante es pensionada con un haber mínimo de cuatrocientos tres pesos ($403.-);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 le otorgó un beneficio a la solicitante mediante la Ordenanza Nº 5969 en noviembre de 2002;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 acuerdo al informe socioeconómico la solicitante padece severos problemas de salud por lo que tiene varios gastos en medicamentos;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 presentó la solicitante a fin de dialogar con los miembros de la Comisión de Hacienda a fin de saldar la deuda por la Identificación 1738;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solicitante ofrece saldar la deuda mediante un Plan de Pagos con cuotas de treinta pesos ($30.-) para la designación catastral 3-01-264-006-000 y la Identificación 1738, manifestando de esta manera voluntad de pago;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rPr>
      </w:pPr>
    </w:p>
    <w:p>
      <w:pPr>
        <w:pStyle w:val="P3"/>
        <w:jc w:val="right"/>
        <w:rPr>
          <w:rFonts w:ascii="Courier New" w:hAnsi="Courier New"/>
        </w:rPr>
      </w:pPr>
      <w:r>
        <w:rPr>
          <w:rFonts w:ascii="Courier New" w:hAnsi="Courier New"/>
        </w:rPr>
        <w:t>...///</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rPr>
      </w:pPr>
      <w:r>
        <w:rPr>
          <w:rFonts w:ascii="Courier New" w:hAnsi="Courier New"/>
        </w:rPr>
        <w:t>...///2.-</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p>
    <w:p>
      <w:pPr>
        <w:pStyle w:val="P3"/>
        <w:tabs>
          <w:tab w:val="left" w:pos="-1985" w:leader="none"/>
        </w:tabs>
        <w:ind w:hanging="709" w:left="709"/>
        <w:jc w:val="both"/>
        <w:rPr>
          <w:rFonts w:ascii="Courier New" w:hAnsi="Courier New"/>
          <w:b w:val="1"/>
          <w:bCs w:val="1"/>
          <w:u w:val="single"/>
        </w:rPr>
      </w:pPr>
    </w:p>
    <w:p>
      <w:pPr>
        <w:pStyle w:val="P3"/>
        <w:ind w:hanging="567"/>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por la deuda que posee con el Municipio por la designación catastral 3-01-264-006-000 hasta la promulgación de la presente Ordenanza en concepto de Tasa por Servicios a la Propiedad y por la Identificación 1738 hasta la promulgación de la presente Ordenanza en concepto de Tasa por Servicios de Administración y Mantenimiento de los Cementerios, con cuota mensual de quince pesos ($15.-) para cada Plan de Pagos.</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2026-07-09T18:57:00Z</dcterms:created>
  <cp:lastModifiedBy>Federico Parisi</cp:lastModifiedBy>
  <cp:lastPrinted>2007-09-14T13:09:00Z</cp:lastPrinted>
  <dcterms:modified xsi:type="dcterms:W3CDTF">2026-07-09T18:57:00Z</dcterms:modified>
  <cp:revision>2</cp:revision>
  <dc:title>P R O Y E C T O   D E   O R D E N A N Z A</dc:title>
</cp:coreProperties>
</file>