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7815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980/06;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en julio de 2006 por la Sra. Jacinta Freytes, Doc. Nº 10.176.291 donde mediante nota solicita eximición de deuda Municipal;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parte de la deuda de Tasa por Servicios a la Propiedad está en juicio;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según Sección Catastro a Fs. 16 vta., informa que se trata de vivienda única siendo la solicitante la titular del inmueble;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grupo familiar lo integran la Sra. Freytes y 2 hijos con un ingreso por parte de la solicitante de quinientos quince pesos con noventa centavos ($515,90.-) por jubilación según informe socioeconómico a Fs. 12;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en época estival, enero de 2007, manifiesta la Sra. Freytes, que la hija mayor fue beneficiaria del Plan Primer Paso en una heladería situación que en la actualidad no ocurre;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FÍJASE</w:t>
      </w:r>
      <w:r>
        <w:rPr>
          <w:rFonts w:ascii="Courier New" w:hAnsi="Courier New"/>
        </w:rPr>
        <w:t xml:space="preserve"> una cuota mensual de quince pesos ($15.-) en concepto de Tasa por Servicios a la Propiedad para la designación catastral 3-01-235-023-000 desde la promulgación de la presente Ordenanza y hasta diciembre de 2008 inclusive. </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EXÍMASE</w:t>
      </w:r>
      <w:r>
        <w:rPr>
          <w:rFonts w:ascii="Courier New" w:hAnsi="Courier New"/>
        </w:rPr>
        <w:t xml:space="preserve"> por cada cuota abonada, una (1) cuota de la deuda que registra por Tasa por Servicios a la Propiedad.</w:t>
      </w:r>
    </w:p>
    <w:p>
      <w:pPr>
        <w:pStyle w:val="P3"/>
        <w:ind w:hanging="567"/>
        <w:jc w:val="both"/>
        <w:rPr>
          <w:rFonts w:ascii="Courier New" w:hAnsi="Courier New"/>
          <w:b w:val="1"/>
          <w:bCs w:val="1"/>
        </w:rPr>
      </w:pPr>
    </w:p>
    <w:p>
      <w:pPr>
        <w:pStyle w:val="P3"/>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CADÚQUENSE</w:t>
      </w:r>
      <w:r>
        <w:rPr>
          <w:rFonts w:ascii="Courier New" w:hAnsi="Courier New"/>
        </w:rPr>
        <w:t xml:space="preserve"> en forma automática los beneficios otorgados en caso de venta, transferencia o cambio de titularidad los beneficios otorgados precedentemente caducarán automáticamente.</w:t>
      </w:r>
    </w:p>
    <w:p>
      <w:pPr>
        <w:pStyle w:val="P3"/>
        <w:ind w:left="0"/>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rPr>
        <w:t xml:space="preserve">: </w:t>
      </w:r>
      <w:r>
        <w:rPr>
          <w:rFonts w:ascii="Courier New" w:hAnsi="Courier New"/>
          <w:b w:val="1"/>
          <w:bCs w:val="1"/>
        </w:rPr>
        <w:t>SOLICÍTASE</w:t>
      </w:r>
      <w:r>
        <w:rPr>
          <w:rFonts w:ascii="Courier New" w:hAnsi="Courier New"/>
        </w:rPr>
        <w:t xml:space="preserve"> al Sr. Intendente que interceda ante el procurador actuante para que deje sin efecto el juicio y honorarios devengados.</w:t>
      </w:r>
    </w:p>
    <w:p>
      <w:pPr>
        <w:pStyle w:val="P4"/>
        <w:jc w:val="both"/>
        <w:outlineLvl w:val="0"/>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Art.5</w:t>
      </w:r>
      <w:r>
        <w:rPr>
          <w:rFonts w:ascii="Courier New" w:hAnsi="Courier New"/>
          <w:b w:val="1"/>
          <w:bCs w:val="1"/>
        </w:rPr>
        <w:t>: TRANSCURRIDO</w:t>
      </w:r>
      <w:r>
        <w:rPr>
          <w:rFonts w:ascii="Courier New" w:hAnsi="Courier New"/>
        </w:rPr>
        <w:t xml:space="preserve"> el período fijado en el Artículo 1 realizar un nuevo estudio socioeconómico y de persistir los motivos que fundamentan la presente Ordenanza y no detectarse cuotas impagas de la Tasa actual, continuar por otros 12 meses con el mismo beneficio otorgado.</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Art.6</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2026-07-09T18:56:35Z</dcterms:created>
  <cp:lastModifiedBy>Federico Parisi</cp:lastModifiedBy>
  <cp:lastPrinted>2007-09-14T14:21:00Z</cp:lastPrinted>
  <dcterms:modified xsi:type="dcterms:W3CDTF">2026-07-09T18:56:35Z</dcterms:modified>
  <cp:revision>2</cp:revision>
  <dc:title>P R O Y E C T O   D E   O R D E N A N Z A</dc:title>
</cp:coreProperties>
</file>