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7816</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1145/03;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en julio de 2003 por la Sra. Marta Rios, D.N.I. Nº 4.213.613. donde solicita eximición de Entrada y Mantenimiento de Cementerio;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el último informe socioeconómico a Fs. 13 y 13 (vuelta), informa que la solicitante percibe ochenta pesos ($80.-) como empleada doméstica no formal, recibe módulo alimentario y no recibe apoyatura económica de su hijo, el cual comparte la vivienda pero no los gastos ya que tiene su propio grupo familiar, se informa además que la solicitante padece problemas respiratorios y utiliza leña para cocinar;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 presentó ante la Comisión de Hacienda manifestando su voluntad de pago de la Tasa por Servicios de Administración y Mantenimiento de los Cementerios de la Identificación 5356 haciéndose ella ahora responsable;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que realice el cambio de titularidad de la Identificación 5356 siendo en consecuencia la nueva responsable la Sra. Marta Rios, D.N.I. Nº 4.213.613. </w:t>
      </w:r>
    </w:p>
    <w:p>
      <w:pPr>
        <w:pStyle w:val="P3"/>
        <w:ind w:hanging="709" w:left="709"/>
        <w:jc w:val="both"/>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rPr>
      </w:pPr>
    </w:p>
    <w:p>
      <w:pPr>
        <w:pStyle w:val="P3"/>
        <w:ind w:hanging="709" w:left="709"/>
        <w:jc w:val="both"/>
        <w:rPr>
          <w:rFonts w:ascii="Courier New" w:hAnsi="Courier New"/>
          <w:b w:val="1"/>
          <w:bCs w:val="1"/>
        </w:rPr>
      </w:pPr>
      <w:r>
        <w:rPr>
          <w:rFonts w:ascii="Courier New" w:hAnsi="Courier New"/>
          <w:b w:val="1"/>
          <w:bCs w:val="1"/>
          <w:u w:val="single"/>
        </w:rPr>
        <w:t>Art.2</w:t>
      </w:r>
      <w:r>
        <w:rPr>
          <w:rFonts w:ascii="Courier New" w:hAnsi="Courier New"/>
          <w:b w:val="1"/>
          <w:bCs w:val="1"/>
        </w:rPr>
        <w:t>: EXÍMASE</w:t>
      </w:r>
      <w:r>
        <w:rPr>
          <w:rFonts w:ascii="Courier New" w:hAnsi="Courier New"/>
        </w:rPr>
        <w:t xml:space="preserve"> en un cien por cien (100%) la deuda que registra por el período 2003/05 hasta 2005/06 inclusive.</w:t>
      </w:r>
    </w:p>
    <w:p>
      <w:pPr>
        <w:pStyle w:val="P3"/>
        <w:ind w:hanging="567"/>
        <w:jc w:val="both"/>
        <w:rPr>
          <w:rFonts w:ascii="Courier New" w:hAnsi="Courier New"/>
          <w:b w:val="1"/>
          <w:bCs w:val="1"/>
        </w:rPr>
      </w:pPr>
    </w:p>
    <w:p>
      <w:pPr>
        <w:pStyle w:val="P3"/>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AUTORÍZASE</w:t>
      </w:r>
      <w:r>
        <w:rPr>
          <w:rFonts w:ascii="Courier New" w:hAnsi="Courier New"/>
        </w:rPr>
        <w:t xml:space="preserve"> al Departamento Ejecutivo a realizar un Plan de Pagos por la deuda no comprendida en la eximición otorgada en el artículo anterior que registra a Valores Históricos a la promulgación de la presente Ordenanza por la Identificación 5356 por Tasa por Servicios de Administración y Mantenimiento de los Cementerios con cuotas mensuales de cinco pesos ($5.-).</w:t>
      </w:r>
    </w:p>
    <w:p>
      <w:pPr>
        <w:pStyle w:val="P3"/>
        <w:ind w:left="0"/>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2026-07-09T18:56:27Z</dcterms:created>
  <cp:lastModifiedBy>Federico Parisi</cp:lastModifiedBy>
  <cp:lastPrinted>2007-09-14T14:54:00Z</cp:lastPrinted>
  <dcterms:modified xsi:type="dcterms:W3CDTF">2026-07-09T18:56:27Z</dcterms:modified>
  <cp:revision>2</cp:revision>
  <dc:title>P R O Y E C T O   D E   O R D E N A N Z A</dc:title>
</cp:coreProperties>
</file>