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r>
        <w:rPr>
          <w:rFonts w:ascii="Courier New" w:hAnsi="Courier New"/>
          <w:b w:val="1"/>
          <w:bCs w:val="1"/>
          <w:u w:val="single"/>
        </w:rPr>
        <w:t>ORDENANZA Nº 7818</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899/06;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rPr>
      </w:pPr>
      <w:r>
        <w:rPr>
          <w:rFonts w:ascii="Courier New" w:hAnsi="Courier New"/>
        </w:rPr>
        <w:t xml:space="preserve">Que el mismo es iniciado por nota del 26 de junio del 2006 presentada por la Sra. Zanella María Teresa solicitando se le conceda la excepción de la continuidad del Plan de Pagos  por Pavimentación identificado con el Nº 828408;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la solicitante accedió a un Plan de Pagos el cual no pudo cumplir totalmente, sino el dieciseis por ciento (16%), en concepto de Contribución por Mejoras por Pavimento de la designación catastral 03-01-099-003-001;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la Sección Catastro informa a Fs. 17 (vuelta), que el inmueble se registra a nombre de su esposo fallecido como único inmueble y la solicitante no registra propiedad a su nombre;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la Sra. Zanella se presentó a fin de dialogar con los miembros de la Comisión de Hacienda manifestando voluntad de pago para con su deuda por lo que solicita la realización de un Plan de Pagos con cuotas mensuales de veinte pesos ($20.-) por Contribución por Mejoras por Pavimento;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a Fs. 14, nueva nota de la Sra. Zanella solicita la eximición de tasa por servicios a la propiedad de la designación catastral 3106010301099003000010 (C3-S1-Mz.99-P3-Unidad “1”);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Dirección de Ingresos Públicos informa en julio del presente año que registra deuda de las dos últimas cuotas de Tasa por Servicios a la Propiedad;</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6 de septiembre de 2007.</w:t>
      </w:r>
    </w:p>
    <w:p>
      <w:pPr>
        <w:pStyle w:val="P3"/>
        <w:ind w:left="709"/>
        <w:jc w:val="right"/>
        <w:rPr>
          <w:rFonts w:ascii="Courier New" w:hAnsi="Courier New"/>
        </w:rPr>
      </w:pPr>
      <w:r>
        <w:rPr>
          <w:rFonts w:ascii="Courier New" w:hAnsi="Courier New"/>
        </w:rPr>
        <w:t>...///</w:t>
      </w:r>
    </w:p>
    <w:p>
      <w:pPr>
        <w:pStyle w:val="P3"/>
        <w:ind w:left="709"/>
        <w:jc w:val="both"/>
        <w:rPr>
          <w:rFonts w:ascii="Courier New" w:hAnsi="Courier New"/>
        </w:rPr>
      </w:pPr>
    </w:p>
    <w:p>
      <w:pPr>
        <w:pStyle w:val="P3"/>
        <w:ind w:left="709"/>
        <w:jc w:val="both"/>
        <w:rPr>
          <w:rFonts w:ascii="Courier New" w:hAnsi="Courier New"/>
        </w:rPr>
      </w:pPr>
    </w:p>
    <w:p>
      <w:pPr>
        <w:pStyle w:val="P3"/>
        <w:ind w:left="709"/>
        <w:jc w:val="both"/>
        <w:rPr>
          <w:rFonts w:ascii="Courier New" w:hAnsi="Courier New"/>
        </w:rPr>
      </w:pPr>
    </w:p>
    <w:p>
      <w:pPr>
        <w:pStyle w:val="P3"/>
        <w:ind w:left="709"/>
        <w:jc w:val="both"/>
        <w:rPr>
          <w:rFonts w:ascii="Courier New" w:hAnsi="Courier New"/>
        </w:rPr>
      </w:pPr>
    </w:p>
    <w:p>
      <w:pPr>
        <w:pStyle w:val="P3"/>
        <w:ind w:left="709"/>
        <w:jc w:val="both"/>
        <w:rPr>
          <w:rFonts w:ascii="Courier New" w:hAnsi="Courier New"/>
        </w:rPr>
      </w:pPr>
    </w:p>
    <w:p>
      <w:pPr>
        <w:pStyle w:val="P3"/>
        <w:ind w:left="709"/>
        <w:jc w:val="both"/>
        <w:rPr>
          <w:rFonts w:ascii="Courier New" w:hAnsi="Courier New"/>
        </w:rPr>
      </w:pPr>
    </w:p>
    <w:p>
      <w:pPr>
        <w:pStyle w:val="P3"/>
        <w:ind w:left="0"/>
        <w:jc w:val="both"/>
        <w:rPr>
          <w:rFonts w:ascii="Courier New" w:hAnsi="Courier New"/>
        </w:rPr>
      </w:pPr>
      <w:r>
        <w:rPr>
          <w:rFonts w:ascii="Courier New" w:hAnsi="Courier New"/>
        </w:rPr>
        <w:t>...///2.-</w:t>
      </w: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right"/>
        <w:rPr>
          <w:rFonts w:ascii="Courier New" w:hAnsi="Courier New"/>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AUTORÍZASE</w:t>
      </w:r>
      <w:r>
        <w:rPr>
          <w:rFonts w:ascii="Courier New" w:hAnsi="Courier New"/>
        </w:rPr>
        <w:t xml:space="preserve"> al Departamento Ejecutivo a realizar un Plan de Pagos por la deuda que mantiene la solicitante con el Municipio hasta la promulgación de la presente Ordenanza por Contribución por Mejoras por Pavimento, designación catastral C3-S1-Mz.99-P3-Unidad “1” con cuotas mensuales de veinte pesos ($20.-). </w:t>
      </w:r>
    </w:p>
    <w:p>
      <w:pPr>
        <w:pStyle w:val="P3"/>
        <w:ind w:hanging="709" w:left="709"/>
        <w:jc w:val="both"/>
        <w:rPr>
          <w:rFonts w:ascii="Courier New" w:hAnsi="Courier New"/>
        </w:rPr>
      </w:pPr>
    </w:p>
    <w:p>
      <w:pPr>
        <w:pStyle w:val="P3"/>
        <w:ind w:hanging="709" w:left="709"/>
        <w:jc w:val="both"/>
        <w:rPr>
          <w:rFonts w:ascii="Courier New" w:hAnsi="Courier New"/>
          <w:b w:val="1"/>
          <w:bCs w:val="1"/>
        </w:rPr>
      </w:pPr>
      <w:r>
        <w:rPr>
          <w:rFonts w:ascii="Courier New" w:hAnsi="Courier New"/>
          <w:b w:val="1"/>
          <w:bCs w:val="1"/>
          <w:u w:val="single"/>
        </w:rPr>
        <w:t>Art.2</w:t>
      </w:r>
      <w:r>
        <w:rPr>
          <w:rFonts w:ascii="Courier New" w:hAnsi="Courier New"/>
          <w:b w:val="1"/>
          <w:bCs w:val="1"/>
        </w:rPr>
        <w:t>: EXÍMASE</w:t>
      </w:r>
      <w:r>
        <w:rPr>
          <w:rFonts w:ascii="Courier New" w:hAnsi="Courier New"/>
        </w:rPr>
        <w:t xml:space="preserve"> en un cien por cien (100%) el pago de Tasa por Servicios a la Propiedad para la designación catastral C3-S1-Mz.99-P3-Unidad “1” por el período 2007/09 hasta 2008/09.</w:t>
      </w:r>
    </w:p>
    <w:p>
      <w:pPr>
        <w:pStyle w:val="P3"/>
        <w:ind w:hanging="709" w:left="709"/>
        <w:jc w:val="both"/>
        <w:rPr>
          <w:rFonts w:ascii="Courier New" w:hAnsi="Courier New"/>
          <w:b w:val="1"/>
          <w:bCs w:val="1"/>
        </w:rPr>
      </w:pPr>
    </w:p>
    <w:p>
      <w:pPr>
        <w:pStyle w:val="P3"/>
        <w:ind w:hanging="709" w:left="709"/>
        <w:jc w:val="both"/>
        <w:rPr>
          <w:rFonts w:ascii="Courier New" w:hAnsi="Courier New"/>
          <w:b w:val="1"/>
          <w:bCs w:val="1"/>
        </w:rPr>
      </w:pPr>
      <w:r>
        <w:rPr>
          <w:rFonts w:ascii="Courier New" w:hAnsi="Courier New"/>
          <w:b w:val="1"/>
          <w:bCs w:val="1"/>
          <w:u w:val="single"/>
        </w:rPr>
        <w:t>Art.3</w:t>
      </w:r>
      <w:r>
        <w:rPr>
          <w:rFonts w:ascii="Courier New" w:hAnsi="Courier New"/>
          <w:b w:val="1"/>
          <w:bCs w:val="1"/>
        </w:rPr>
        <w:t xml:space="preserve">: CADÚQUENSE </w:t>
      </w:r>
      <w:r>
        <w:rPr>
          <w:rFonts w:ascii="Courier New" w:hAnsi="Courier New"/>
        </w:rPr>
        <w:t>en forma automática los beneficios en caso de venta, cambio de titularidad o transferencia del inmueble.</w:t>
      </w:r>
    </w:p>
    <w:p>
      <w:pPr>
        <w:pStyle w:val="P3"/>
        <w:ind w:hanging="567"/>
        <w:jc w:val="both"/>
        <w:rPr>
          <w:rFonts w:ascii="Courier New" w:hAnsi="Courier New"/>
          <w:b w:val="1"/>
          <w:bCs w:val="1"/>
        </w:rPr>
      </w:pPr>
    </w:p>
    <w:p>
      <w:pPr>
        <w:pStyle w:val="P4"/>
        <w:ind w:hanging="709" w:left="709"/>
        <w:jc w:val="both"/>
        <w:outlineLvl w:val="0"/>
        <w:rPr>
          <w:rFonts w:ascii="Courier New" w:hAnsi="Courier New"/>
        </w:rPr>
      </w:pPr>
      <w:r>
        <w:rPr>
          <w:rFonts w:ascii="Courier New" w:hAnsi="Courier New"/>
          <w:b w:val="1"/>
          <w:bCs w:val="1"/>
          <w:u w:val="single"/>
        </w:rPr>
        <w:t>Art.4</w:t>
      </w:r>
      <w:r>
        <w:rPr>
          <w:rFonts w:ascii="Courier New" w:hAnsi="Courier New"/>
        </w:rPr>
        <w:t xml:space="preserve">: </w:t>
      </w:r>
      <w:r>
        <w:rPr>
          <w:rFonts w:ascii="Courier New" w:hAnsi="Courier New"/>
          <w:b w:val="1"/>
          <w:bCs w:val="1"/>
        </w:rPr>
        <w:t>PROTOCOLÍCESE</w:t>
      </w:r>
      <w:r>
        <w:rPr>
          <w:rFonts w:ascii="Courier New" w:hAnsi="Courier New"/>
        </w:rPr>
        <w:t>, comuníquese, publíquese en el Boletín Oficial de la Ciudad de Alta Gracia, transcríbase al Libro de Ordenanzas y archívese.</w:t>
      </w:r>
    </w:p>
    <w:p>
      <w:pPr>
        <w:pStyle w:val="P5"/>
        <w:ind w:hanging="709" w:left="709"/>
        <w:jc w:val="both"/>
        <w:rPr>
          <w:sz w:val="24"/>
          <w:szCs w:val="24"/>
          <w:lang/>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SEIS DÍAS DEL MES DE SEPTIEMBRE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2026-07-09T18:56:04Z</dcterms:created>
  <cp:lastModifiedBy>Federico Parisi</cp:lastModifiedBy>
  <cp:lastPrinted>2007-09-14T15:21:00Z</cp:lastPrinted>
  <dcterms:modified xsi:type="dcterms:W3CDTF">2026-07-09T18:56:04Z</dcterms:modified>
  <cp:revision>2</cp:revision>
  <dc:title>P R O Y E C T O   D E   O R D E N A N Z A</dc:title>
</cp:coreProperties>
</file>