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pStyle w:val="P2"/>
        <w:rPr>
          <w:rFonts w:ascii="Courier New" w:hAnsi="Courier New"/>
          <w:b w:val="1"/>
          <w:bCs w:val="1"/>
          <w:u w:val="single"/>
        </w:rPr>
      </w:pPr>
    </w:p>
    <w:p>
      <w:pPr>
        <w:pStyle w:val="P2"/>
        <w:rPr>
          <w:rFonts w:ascii="Courier New" w:hAnsi="Courier New"/>
          <w:b w:val="1"/>
          <w:bCs w:val="1"/>
          <w:u w:val="single"/>
        </w:rPr>
      </w:pPr>
      <w:r>
        <w:rPr>
          <w:rFonts w:ascii="Courier New" w:hAnsi="Courier New"/>
          <w:b w:val="1"/>
          <w:bCs w:val="1"/>
          <w:u w:val="single"/>
        </w:rPr>
        <w:t>ORDENANZA Nº 7821</w:t>
      </w:r>
    </w:p>
    <w:p>
      <w:pPr>
        <w:jc w:val="center"/>
        <w:rPr>
          <w:rFonts w:ascii="Courier New" w:hAnsi="Courier New"/>
          <w:sz w:val="24"/>
          <w:szCs w:val="24"/>
          <w:lang w:val="es-MX"/>
        </w:rPr>
      </w:pPr>
    </w:p>
    <w:p>
      <w:pPr>
        <w:rPr>
          <w:rFonts w:ascii="Courier New" w:hAnsi="Courier New"/>
          <w:sz w:val="24"/>
          <w:szCs w:val="24"/>
          <w:lang w:val="es-MX"/>
        </w:rPr>
      </w:pPr>
    </w:p>
    <w:p>
      <w:pPr>
        <w:ind w:hanging="709" w:left="709"/>
        <w:jc w:val="both"/>
        <w:rPr>
          <w:rFonts w:ascii="Courier New" w:hAnsi="Courier New"/>
          <w:sz w:val="24"/>
          <w:szCs w:val="24"/>
          <w:lang w:val="es-MX"/>
        </w:rPr>
      </w:pPr>
      <w:r>
        <w:rPr>
          <w:rFonts w:ascii="Courier New" w:hAnsi="Courier New"/>
          <w:sz w:val="24"/>
          <w:szCs w:val="24"/>
          <w:lang w:val="es-MX"/>
        </w:rPr>
        <w:t>Visto: El Expediente Nº 1746/05; y</w:t>
      </w:r>
    </w:p>
    <w:p>
      <w:pPr>
        <w:jc w:val="both"/>
        <w:rPr>
          <w:rFonts w:ascii="Courier New" w:hAnsi="Courier New"/>
          <w:sz w:val="24"/>
          <w:szCs w:val="24"/>
          <w:lang w:val="es-MX"/>
        </w:rPr>
      </w:pPr>
    </w:p>
    <w:p>
      <w:pPr>
        <w:jc w:val="center"/>
        <w:rPr>
          <w:rFonts w:ascii="Courier New" w:hAnsi="Courier New"/>
          <w:b w:val="1"/>
          <w:bCs w:val="1"/>
          <w:sz w:val="24"/>
          <w:szCs w:val="24"/>
          <w:lang w:val="es-MX"/>
        </w:rPr>
      </w:pPr>
    </w:p>
    <w:p>
      <w:pPr>
        <w:pStyle w:val="P1"/>
        <w:rPr>
          <w:rFonts w:ascii="Courier New" w:hAnsi="Courier New"/>
        </w:rPr>
      </w:pPr>
      <w:r>
        <w:rPr>
          <w:rFonts w:ascii="Courier New" w:hAnsi="Courier New"/>
        </w:rPr>
        <w:t>C O N S I D E R A N D O</w:t>
      </w:r>
    </w:p>
    <w:p>
      <w:pPr>
        <w:rPr>
          <w:rFonts w:ascii="Courier New" w:hAnsi="Courier New"/>
        </w:rPr>
      </w:pPr>
    </w:p>
    <w:p>
      <w:pPr>
        <w:rPr>
          <w:rFonts w:ascii="Courier New" w:hAnsi="Courier New"/>
          <w:sz w:val="24"/>
          <w:szCs w:val="24"/>
        </w:rPr>
      </w:pPr>
    </w:p>
    <w:p>
      <w:pPr>
        <w:pStyle w:val="P3"/>
        <w:ind w:left="709"/>
        <w:jc w:val="both"/>
        <w:rPr>
          <w:rFonts w:ascii="Courier New" w:hAnsi="Courier New"/>
        </w:rPr>
      </w:pPr>
      <w:r>
        <w:rPr>
          <w:rFonts w:ascii="Courier New" w:hAnsi="Courier New"/>
        </w:rPr>
        <w:t xml:space="preserve">Que el mismo es iniciado mediante nota en diciembre de 2004 donde la Sra. Elena de Molina, L.C. 4.124.144 domiciliada en calle pasaje Mariano Moreno 70 Barrio Sur, solicita una ampliación en la cantidad de cuotas de la obra de red cloacal; </w:t>
      </w:r>
    </w:p>
    <w:p>
      <w:pPr>
        <w:pStyle w:val="P3"/>
        <w:ind w:left="709"/>
        <w:jc w:val="both"/>
        <w:rPr>
          <w:rFonts w:ascii="Courier New" w:hAnsi="Courier New"/>
        </w:rPr>
      </w:pPr>
    </w:p>
    <w:p>
      <w:pPr>
        <w:pStyle w:val="P3"/>
        <w:ind w:left="709"/>
        <w:jc w:val="both"/>
        <w:rPr>
          <w:rFonts w:ascii="Courier New" w:hAnsi="Courier New"/>
        </w:rPr>
      </w:pPr>
      <w:r>
        <w:rPr>
          <w:rFonts w:ascii="Courier New" w:hAnsi="Courier New"/>
        </w:rPr>
        <w:t xml:space="preserve">Que a Fs. 11 Sección Catastro informa de que la designación catastral 01-01-012-003-lote 4-Mz.Of.38 no son titulares, no se registran como tales en este Municipio; </w:t>
      </w:r>
    </w:p>
    <w:p>
      <w:pPr>
        <w:pStyle w:val="P3"/>
        <w:ind w:left="709"/>
        <w:jc w:val="both"/>
        <w:rPr>
          <w:rFonts w:ascii="Courier New" w:hAnsi="Courier New"/>
        </w:rPr>
      </w:pPr>
    </w:p>
    <w:p>
      <w:pPr>
        <w:pStyle w:val="P3"/>
        <w:ind w:left="709"/>
        <w:jc w:val="both"/>
        <w:rPr>
          <w:rFonts w:ascii="Courier New" w:hAnsi="Courier New"/>
        </w:rPr>
      </w:pPr>
      <w:r>
        <w:rPr>
          <w:rFonts w:ascii="Courier New" w:hAnsi="Courier New"/>
        </w:rPr>
        <w:t xml:space="preserve">Que a Fs. 6 existe un contrato de comodato donde la solicitante recibe comodato o préstamo de uso gratuito el inmueble de referencia; </w:t>
      </w:r>
    </w:p>
    <w:p>
      <w:pPr>
        <w:pStyle w:val="P3"/>
        <w:ind w:left="709"/>
        <w:jc w:val="both"/>
        <w:rPr>
          <w:rFonts w:ascii="Courier New" w:hAnsi="Courier New"/>
        </w:rPr>
      </w:pPr>
    </w:p>
    <w:p>
      <w:pPr>
        <w:pStyle w:val="P3"/>
        <w:ind w:left="709"/>
        <w:jc w:val="both"/>
        <w:rPr>
          <w:rFonts w:ascii="Courier New" w:hAnsi="Courier New"/>
        </w:rPr>
      </w:pPr>
      <w:r>
        <w:rPr>
          <w:rFonts w:ascii="Courier New" w:hAnsi="Courier New"/>
        </w:rPr>
        <w:t>Que el informe socioeconómico a Fs. 9 y 9 (vuelta), informa que la solicitante de 63 años convive con su marido jubilado de 70 años, ambos padecen problemas de salud, presentan un ingreso económico insuficiente para cubrir la canasta básica total;</w:t>
      </w:r>
    </w:p>
    <w:p>
      <w:pPr>
        <w:pStyle w:val="P3"/>
        <w:ind w:left="709"/>
        <w:jc w:val="both"/>
        <w:rPr>
          <w:rFonts w:ascii="Courier New" w:hAnsi="Courier New"/>
        </w:rPr>
      </w:pPr>
    </w:p>
    <w:p>
      <w:pPr>
        <w:pStyle w:val="P3"/>
        <w:ind w:left="709"/>
        <w:jc w:val="both"/>
        <w:rPr>
          <w:rFonts w:ascii="Courier New" w:hAnsi="Courier New"/>
        </w:rPr>
      </w:pPr>
      <w:r>
        <w:rPr>
          <w:rFonts w:ascii="Courier New" w:hAnsi="Courier New"/>
        </w:rPr>
        <w:t>Que evaluado el contenido del Expediente mencionado por Comisión de Hacienda, la misma emite despacho en el marco de las Ordenanzas vigentes, despacho aprobado por unanimidad en Sesión Ordinaria de fecha 6 de septiembre de 2007.</w:t>
      </w:r>
    </w:p>
    <w:p>
      <w:pPr>
        <w:pStyle w:val="P3"/>
        <w:jc w:val="both"/>
        <w:rPr>
          <w:rFonts w:ascii="Courier New" w:hAnsi="Courier New"/>
          <w:b w:val="1"/>
          <w:bCs w:val="1"/>
        </w:rPr>
      </w:pPr>
    </w:p>
    <w:p>
      <w:pPr>
        <w:pStyle w:val="P3"/>
        <w:jc w:val="both"/>
        <w:rPr>
          <w:rFonts w:ascii="Courier New" w:hAnsi="Courier New"/>
          <w:b w:val="1"/>
          <w:bCs w:val="1"/>
        </w:rPr>
      </w:pPr>
    </w:p>
    <w:p>
      <w:pPr>
        <w:pStyle w:val="P3"/>
        <w:jc w:val="both"/>
        <w:rPr>
          <w:rFonts w:ascii="Courier New" w:hAnsi="Courier New"/>
          <w:b w:val="1"/>
          <w:bCs w:val="1"/>
        </w:rPr>
      </w:pPr>
    </w:p>
    <w:p>
      <w:pPr>
        <w:pStyle w:val="P3"/>
        <w:jc w:val="center"/>
        <w:rPr>
          <w:rFonts w:ascii="Courier New" w:hAnsi="Courier New"/>
          <w:b w:val="1"/>
          <w:bCs w:val="1"/>
        </w:rPr>
      </w:pPr>
      <w:r>
        <w:rPr>
          <w:rFonts w:ascii="Courier New" w:hAnsi="Courier New"/>
          <w:b w:val="1"/>
          <w:bCs w:val="1"/>
        </w:rPr>
        <w:t>EL HONORABLE CONCEJO DELIBERANTE DE LA CIUDAD DE</w:t>
      </w:r>
    </w:p>
    <w:p>
      <w:pPr>
        <w:pStyle w:val="P3"/>
        <w:ind w:left="1275"/>
        <w:jc w:val="both"/>
        <w:rPr>
          <w:rFonts w:ascii="Courier New" w:hAnsi="Courier New"/>
          <w:b w:val="1"/>
          <w:bCs w:val="1"/>
        </w:rPr>
      </w:pPr>
    </w:p>
    <w:p>
      <w:pPr>
        <w:pStyle w:val="P3"/>
        <w:ind w:left="1275"/>
        <w:jc w:val="both"/>
        <w:rPr>
          <w:rFonts w:ascii="Courier New" w:hAnsi="Courier New"/>
          <w:b w:val="1"/>
          <w:bCs w:val="1"/>
        </w:rPr>
      </w:pPr>
    </w:p>
    <w:p>
      <w:pPr>
        <w:pStyle w:val="P3"/>
        <w:ind w:left="1275"/>
        <w:jc w:val="both"/>
        <w:rPr>
          <w:rFonts w:ascii="Courier New" w:hAnsi="Courier New"/>
          <w:b w:val="1"/>
          <w:bCs w:val="1"/>
        </w:rPr>
      </w:pPr>
    </w:p>
    <w:p>
      <w:pPr>
        <w:pStyle w:val="P3"/>
        <w:ind w:left="1275"/>
        <w:jc w:val="both"/>
        <w:rPr>
          <w:rFonts w:ascii="Courier New" w:hAnsi="Courier New"/>
          <w:b w:val="1"/>
          <w:bCs w:val="1"/>
        </w:rPr>
      </w:pPr>
    </w:p>
    <w:p>
      <w:pPr>
        <w:pStyle w:val="P3"/>
        <w:ind w:left="1275"/>
        <w:jc w:val="both"/>
        <w:rPr>
          <w:rFonts w:ascii="Courier New" w:hAnsi="Courier New"/>
          <w:b w:val="1"/>
          <w:bCs w:val="1"/>
        </w:rPr>
      </w:pPr>
      <w:r>
        <w:rPr>
          <w:rFonts w:ascii="Courier New" w:hAnsi="Courier New"/>
          <w:b w:val="1"/>
          <w:bCs w:val="1"/>
        </w:rPr>
        <w:t>ALTA GRACIA SANCIONA CON FUERZA DE ORDENANZA</w:t>
      </w:r>
    </w:p>
    <w:p>
      <w:pPr>
        <w:pStyle w:val="P3"/>
        <w:ind w:hanging="709" w:left="709"/>
        <w:jc w:val="right"/>
        <w:rPr>
          <w:rFonts w:ascii="Courier New" w:hAnsi="Courier New"/>
        </w:rPr>
      </w:pPr>
    </w:p>
    <w:p>
      <w:pPr>
        <w:pStyle w:val="P3"/>
        <w:ind w:hanging="709" w:left="709"/>
        <w:jc w:val="right"/>
        <w:rPr>
          <w:rFonts w:ascii="Courier New" w:hAnsi="Courier New"/>
        </w:rPr>
      </w:pPr>
      <w:r>
        <w:rPr>
          <w:rFonts w:ascii="Courier New" w:hAnsi="Courier New"/>
        </w:rPr>
        <w:t>...///</w:t>
      </w:r>
    </w:p>
    <w:p>
      <w:pPr>
        <w:pStyle w:val="P3"/>
        <w:ind w:hanging="709" w:left="709"/>
        <w:jc w:val="right"/>
        <w:rPr>
          <w:rFonts w:ascii="Courier New" w:hAnsi="Courier New"/>
        </w:rPr>
      </w:pPr>
    </w:p>
    <w:p>
      <w:pPr>
        <w:pStyle w:val="P3"/>
        <w:ind w:hanging="709" w:left="709"/>
        <w:jc w:val="right"/>
        <w:rPr>
          <w:rFonts w:ascii="Courier New" w:hAnsi="Courier New"/>
        </w:rPr>
      </w:pPr>
    </w:p>
    <w:p>
      <w:pPr>
        <w:pStyle w:val="P3"/>
        <w:ind w:hanging="709" w:left="709"/>
        <w:jc w:val="right"/>
        <w:rPr>
          <w:rFonts w:ascii="Courier New" w:hAnsi="Courier New"/>
        </w:rPr>
      </w:pPr>
    </w:p>
    <w:p>
      <w:pPr>
        <w:pStyle w:val="P3"/>
        <w:ind w:hanging="709" w:left="709"/>
        <w:jc w:val="right"/>
        <w:rPr>
          <w:rFonts w:ascii="Courier New" w:hAnsi="Courier New"/>
        </w:rPr>
      </w:pPr>
    </w:p>
    <w:p>
      <w:pPr>
        <w:pStyle w:val="P3"/>
        <w:ind w:hanging="709" w:left="709"/>
        <w:rPr>
          <w:rFonts w:ascii="Courier New" w:hAnsi="Courier New"/>
        </w:rPr>
      </w:pPr>
    </w:p>
    <w:p>
      <w:pPr>
        <w:pStyle w:val="P3"/>
        <w:ind w:hanging="709" w:left="709"/>
        <w:rPr>
          <w:rFonts w:ascii="Courier New" w:hAnsi="Courier New"/>
        </w:rPr>
      </w:pPr>
    </w:p>
    <w:p>
      <w:pPr>
        <w:pStyle w:val="P3"/>
        <w:ind w:hanging="709" w:left="709"/>
        <w:rPr>
          <w:rFonts w:ascii="Courier New" w:hAnsi="Courier New"/>
        </w:rPr>
      </w:pPr>
      <w:r>
        <w:rPr>
          <w:rFonts w:ascii="Courier New" w:hAnsi="Courier New"/>
        </w:rPr>
        <w:t>...///2.-</w:t>
      </w:r>
    </w:p>
    <w:p>
      <w:pPr>
        <w:pStyle w:val="P3"/>
        <w:ind w:hanging="709" w:left="709"/>
        <w:jc w:val="right"/>
        <w:rPr>
          <w:rFonts w:ascii="Courier New" w:hAnsi="Courier New"/>
        </w:rPr>
      </w:pPr>
    </w:p>
    <w:p>
      <w:pPr>
        <w:pStyle w:val="P3"/>
        <w:ind w:hanging="709" w:left="709"/>
        <w:jc w:val="both"/>
        <w:rPr>
          <w:rFonts w:ascii="Courier New" w:hAnsi="Courier New"/>
        </w:rPr>
      </w:pPr>
      <w:r>
        <w:rPr>
          <w:rFonts w:ascii="Courier New" w:hAnsi="Courier New"/>
          <w:b w:val="1"/>
          <w:bCs w:val="1"/>
          <w:u w:val="single"/>
        </w:rPr>
        <w:t>Art.1</w:t>
      </w:r>
      <w:r>
        <w:rPr>
          <w:rFonts w:ascii="Courier New" w:hAnsi="Courier New"/>
          <w:b w:val="1"/>
          <w:bCs w:val="1"/>
        </w:rPr>
        <w:t xml:space="preserve">: </w:t>
      </w:r>
      <w:r>
        <w:rPr>
          <w:rFonts w:ascii="Courier New" w:hAnsi="Courier New"/>
          <w:b w:val="1"/>
          <w:bCs w:val="1"/>
        </w:rPr>
        <w:t>AUTORÍZASE</w:t>
      </w:r>
      <w:r>
        <w:rPr>
          <w:rFonts w:ascii="Courier New" w:hAnsi="Courier New"/>
        </w:rPr>
        <w:t xml:space="preserve"> al Departamento Ejecutivo a otorgar un Plan de Pagos de 48 cuotas por la deuda que registra la designación catastral 01-01-012-003-000 en concepto de Obra de Cloacas a Valores Históricos a la Sra. Elena de Molina, L.C. N° 4.124.144.</w:t>
      </w:r>
    </w:p>
    <w:p>
      <w:pPr>
        <w:pStyle w:val="P3"/>
        <w:ind w:hanging="709" w:left="709"/>
        <w:jc w:val="both"/>
        <w:rPr>
          <w:rFonts w:ascii="Courier New" w:hAnsi="Courier New"/>
        </w:rPr>
      </w:pPr>
    </w:p>
    <w:p>
      <w:pPr>
        <w:pStyle w:val="P3"/>
        <w:ind w:hanging="709" w:left="709"/>
        <w:jc w:val="both"/>
        <w:rPr>
          <w:rFonts w:ascii="Courier New" w:hAnsi="Courier New"/>
          <w:b w:val="1"/>
          <w:bCs w:val="1"/>
        </w:rPr>
      </w:pPr>
      <w:r>
        <w:rPr>
          <w:rFonts w:ascii="Courier New" w:hAnsi="Courier New"/>
          <w:b w:val="1"/>
          <w:bCs w:val="1"/>
          <w:u w:val="single"/>
        </w:rPr>
        <w:t>Art.2</w:t>
      </w:r>
      <w:r>
        <w:rPr>
          <w:rFonts w:ascii="Courier New" w:hAnsi="Courier New"/>
          <w:b w:val="1"/>
          <w:bCs w:val="1"/>
        </w:rPr>
        <w:t xml:space="preserve">:  CADÚQUESE </w:t>
      </w:r>
      <w:r>
        <w:rPr>
          <w:rFonts w:ascii="Courier New" w:hAnsi="Courier New"/>
        </w:rPr>
        <w:t>en forma automática el beneficio otorgado en caso de registrarse más de 3 cuotas consecutivas impagas.</w:t>
      </w:r>
    </w:p>
    <w:p>
      <w:pPr>
        <w:pStyle w:val="P3"/>
        <w:ind w:hanging="709" w:left="709"/>
        <w:jc w:val="both"/>
        <w:rPr>
          <w:rFonts w:ascii="Courier New" w:hAnsi="Courier New"/>
          <w:b w:val="1"/>
          <w:bCs w:val="1"/>
        </w:rPr>
      </w:pPr>
    </w:p>
    <w:p>
      <w:pPr>
        <w:pStyle w:val="P4"/>
        <w:ind w:hanging="709" w:left="709"/>
        <w:jc w:val="both"/>
        <w:outlineLvl w:val="0"/>
        <w:rPr>
          <w:rFonts w:ascii="Courier New" w:hAnsi="Courier New"/>
        </w:rPr>
      </w:pPr>
      <w:r>
        <w:rPr>
          <w:rFonts w:ascii="Courier New" w:hAnsi="Courier New"/>
          <w:b w:val="1"/>
          <w:bCs w:val="1"/>
          <w:u w:val="single"/>
        </w:rPr>
        <w:t>Art.3</w:t>
      </w:r>
      <w:r>
        <w:rPr>
          <w:rFonts w:ascii="Courier New" w:hAnsi="Courier New"/>
          <w:b w:val="1"/>
          <w:bCs w:val="1"/>
        </w:rPr>
        <w:t>:</w:t>
      </w:r>
      <w:r>
        <w:rPr>
          <w:rFonts w:ascii="Courier New" w:hAnsi="Courier New"/>
        </w:rPr>
        <w:t xml:space="preserve"> </w:t>
      </w:r>
      <w:r>
        <w:rPr>
          <w:rFonts w:ascii="Courier New" w:hAnsi="Courier New"/>
          <w:b w:val="1"/>
          <w:bCs w:val="1"/>
        </w:rPr>
        <w:t>PROTOCOLÍCESE</w:t>
      </w:r>
      <w:r>
        <w:rPr>
          <w:rFonts w:ascii="Courier New" w:hAnsi="Courier New"/>
        </w:rPr>
        <w:t>, comuníquese, publíquese en el Boletín Oficial de la Ciudad de Alta Gracia, transcríbase al Libro de Ordenanzas y archívese.</w:t>
      </w:r>
    </w:p>
    <w:p>
      <w:pPr>
        <w:pStyle w:val="P5"/>
        <w:ind w:hanging="709" w:left="709"/>
        <w:jc w:val="both"/>
        <w:rPr>
          <w:sz w:val="24"/>
          <w:szCs w:val="24"/>
          <w:lang/>
        </w:rPr>
      </w:pPr>
    </w:p>
    <w:p>
      <w:pPr>
        <w:pStyle w:val="P5"/>
        <w:ind w:hanging="709" w:left="709"/>
        <w:jc w:val="both"/>
        <w:rPr>
          <w:sz w:val="24"/>
          <w:szCs w:val="24"/>
        </w:rPr>
      </w:pPr>
    </w:p>
    <w:p>
      <w:pPr>
        <w:pStyle w:val="P5"/>
        <w:ind w:hanging="709" w:left="709"/>
        <w:jc w:val="both"/>
        <w:rPr>
          <w:sz w:val="24"/>
          <w:szCs w:val="24"/>
        </w:rPr>
      </w:pPr>
    </w:p>
    <w:p>
      <w:pPr>
        <w:pStyle w:val="P3"/>
        <w:ind w:left="0"/>
        <w:jc w:val="both"/>
        <w:rPr>
          <w:rFonts w:ascii="Courier New" w:hAnsi="Courier New"/>
        </w:rPr>
      </w:pPr>
      <w:r>
        <w:rPr>
          <w:rFonts w:ascii="Courier New" w:hAnsi="Courier New"/>
          <w:b w:val="1"/>
          <w:bCs w:val="1"/>
        </w:rPr>
        <w:t>DADA EN LA SALA DE SESIONES DEL HONORABLE CONCEJO DELIBERANTE A LOS SEIS DÍAS DEL MES DE SEPTIEMBRE DEL AÑO DOS MIL SIETE.</w:t>
      </w:r>
    </w:p>
    <w:sectPr>
      <w:type w:val="nextPage"/>
      <w:pgSz w:w="11907" w:h="16840" w:code="0"/>
      <w:pgMar w:left="1701" w:right="1418" w:top="1701" w:bottom="1418" w:header="720" w:footer="720" w:gutter="0"/>
    </w:sectPr>
  </w:body>
</w:document>
</file>

<file path=word/numbering.xml><?xml version="1.0" encoding="utf-8"?>
<w:numbering xmlns:w="http://schemas.openxmlformats.org/wordprocessingml/2006/main">
  <w:abstractNum w:abstractNumId="0">
    <w:nsid w:val="02E12647"/>
    <w:multiLevelType w:val="multilevel"/>
    <w:lvl w:ilvl="0">
      <w:start w:val="1"/>
      <w:numFmt w:val="lowerLetter"/>
      <w:suff w:val="tab"/>
      <w:lvlText w:val="%1)"/>
      <w:lvlJc w:val="left"/>
      <w:pPr>
        <w:ind w:hanging="360" w:left="927"/>
        <w:tabs>
          <w:tab w:val="num" w:pos="927"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
    <w:nsid w:val="1C5F2711"/>
    <w:multiLevelType w:val="multilevel"/>
    <w:lvl w:ilvl="0">
      <w:start w:val="1"/>
      <w:numFmt w:val="upperLetter"/>
      <w:suff w:val="tab"/>
      <w:lvlText w:val="%1)"/>
      <w:lvlJc w:val="left"/>
      <w:pPr>
        <w:ind w:hanging="435" w:left="1711"/>
        <w:tabs>
          <w:tab w:val="num" w:pos="1711"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527A4AA4"/>
    <w:multiLevelType w:val="multilevel"/>
    <w:lvl w:ilvl="0">
      <w:start w:val="1"/>
      <w:numFmt w:val="lowerLetter"/>
      <w:suff w:val="tab"/>
      <w:lvlText w:val="%1)"/>
      <w:lvlJc w:val="left"/>
      <w:pPr>
        <w:ind w:hanging="360" w:left="1636"/>
        <w:tabs>
          <w:tab w:val="num" w:pos="1636"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
    <w:nsid w:val="665D5DA7"/>
    <w:multiLevelType w:val="multilevel"/>
    <w:lvl w:ilvl="0">
      <w:start w:val="1"/>
      <w:numFmt w:val="lowerLetter"/>
      <w:suff w:val="tab"/>
      <w:lvlText w:val="%1)"/>
      <w:lvlJc w:val="left"/>
      <w:pPr>
        <w:ind w:hanging="360" w:left="927"/>
        <w:tabs>
          <w:tab w:val="num" w:pos="927"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num w:numId="1">
    <w:abstractNumId w:val="3"/>
  </w:num>
  <w:num w:numId="2">
    <w:abstractNumId w:val="0"/>
  </w:num>
  <w:num w:numId="3">
    <w:abstractNumId w:val="1"/>
  </w:num>
  <w:num w:numId="4">
    <w:abstractNumId w:val="2"/>
  </w:num>
</w:numbering>
</file>

<file path=word/settings.xml><?xml version="1.0" encoding="utf-8"?>
<w:settings xmlns:r="http://schemas.openxmlformats.org/officeDocument/2006/relationships" xmlns:w="http://schemas.openxmlformats.org/wordprocessingml/2006/main">
  <w:displayBackgroundShape w:val="0"/>
  <w:doNotTrackFormatting/>
  <w:defaultTabStop w:val="708"/>
  <w:autoHyphenation w:val="0"/>
  <w:hyphenationZone w:val="425"/>
  <w:evenAndOddHeaders w:val="0"/>
  <w:characterSpacingControl w:val="compressPunctuation"/>
  <w:compat>
    <w:alignTablesRowByRow/>
    <w:splitPgBreakAndParaMark/>
    <w:growAutofit/>
    <w:doNotBreakConstrainedForcedTable/>
    <w:doNotBreakWrappedTables/>
    <w:doNotVertAlignCellWithSp/>
    <w:footnoteLayoutLikeWW8/>
    <w:shapeLayoutLikeWW8/>
    <w:useWord2002TableStyleRules/>
    <w:doNotUseIndentAsNumberingTabStop/>
    <w:compatSetting w:name="compatibilityMode" w:uri="http://schemas.microsoft.com/office/word" w:val="11"/>
  </w:compat>
  <m:mathPr xmlns:m="http://schemas.openxmlformats.org/officeDocument/2006/math">
    <m:brkBin m:val="before"/>
    <m:brkBinSub m:val="--"/>
    <m:defJc m:val="centerGroup"/>
    <m:interSp m:val="0"/>
    <m:intLim m:val="undOvr"/>
    <m:intraSp m:val="0"/>
    <m:lMargin m:val="0"/>
    <m:mathFont m:val="Cambria Math"/>
    <m:naryLim m:val="undOvr"/>
    <m:postSp m:val="0"/>
    <m:preSp m:val="0"/>
    <m:rMargin m:val="0"/>
    <m:wrapIndent m:val="0"/>
    <m:wrapRight m:val="0"/>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cs="Times New Roman" w:eastAsia="Times New Roman"/>
        <w:sz w:val="20"/>
        <w:szCs w:val="20"/>
      </w:rPr>
    </w:rPrDefault>
    <w:pPrDefault>
      <w:pPr>
        <w:keepNext w:val="0"/>
        <w:keepLines w:val="0"/>
        <w:pageBreakBefore w:val="0"/>
        <w:widowControl w:val="1"/>
        <w:suppressLineNumbers w:val="0"/>
        <w:shd w:val="clear" w:fill="auto"/>
        <w:suppressAutoHyphens w:val="0"/>
        <w:spacing w:lineRule="auto" w:line="240" w:before="0" w:after="0" w:beforeAutospacing="0" w:afterAutospacing="0"/>
        <w:ind w:firstLine="0" w:left="0" w:right="0"/>
        <w:contextualSpacing w:val="0"/>
        <w:bidi w:val="0"/>
        <w:jc w:val="left"/>
        <w:outlineLvl w:val="9"/>
      </w:pPr>
    </w:pPrDefault>
  </w:docDefaults>
  <w:style w:type="paragraph" w:styleId="P0" w:default="1">
    <w:name w:val="Normal"/>
    <w:next w:val="P0"/>
    <w:pPr/>
    <w:rPr>
      <w:sz w:val="20"/>
      <w:lang w:val="es-ES"/>
    </w:rPr>
  </w:style>
  <w:style w:type="paragraph" w:styleId="P1">
    <w:name w:val="Heading 1"/>
    <w:basedOn w:val="P0"/>
    <w:next w:val="P0"/>
    <w:pPr>
      <w:keepNext w:val="1"/>
      <w:jc w:val="center"/>
      <w:outlineLvl w:val="0"/>
    </w:pPr>
    <w:rPr>
      <w:b w:val="1"/>
      <w:bCs w:val="1"/>
      <w:sz w:val="24"/>
      <w:szCs w:val="24"/>
      <w:lang w:val="es-MX"/>
    </w:rPr>
  </w:style>
  <w:style w:type="paragraph" w:styleId="P2">
    <w:name w:val="Title"/>
    <w:basedOn w:val="P0"/>
    <w:next w:val="P2"/>
    <w:pPr>
      <w:jc w:val="center"/>
    </w:pPr>
    <w:rPr>
      <w:sz w:val="24"/>
      <w:szCs w:val="24"/>
      <w:lang w:val="es-MX"/>
    </w:rPr>
  </w:style>
  <w:style w:type="paragraph" w:styleId="P3">
    <w:name w:val="Body Text Indent"/>
    <w:basedOn w:val="P0"/>
    <w:next w:val="P3"/>
    <w:pPr>
      <w:ind w:left="567"/>
    </w:pPr>
    <w:rPr>
      <w:sz w:val="24"/>
      <w:szCs w:val="24"/>
    </w:rPr>
  </w:style>
  <w:style w:type="paragraph" w:styleId="P4">
    <w:name w:val="Body Text 2"/>
    <w:basedOn w:val="P0"/>
    <w:next w:val="P4"/>
    <w:pPr>
      <w:jc w:val="center"/>
    </w:pPr>
    <w:rPr>
      <w:sz w:val="24"/>
      <w:szCs w:val="24"/>
      <w:lang/>
    </w:rPr>
  </w:style>
  <w:style w:type="paragraph" w:styleId="P5">
    <w:name w:val="Plain Text"/>
    <w:basedOn w:val="P0"/>
    <w:next w:val="P5"/>
    <w:pPr/>
    <w:rPr>
      <w:rFonts w:ascii="Courier New" w:hAnsi="Courier New"/>
    </w:rPr>
  </w:style>
  <w:style w:type="paragraph" w:styleId="P6">
    <w:name w:val="Body Text Indent 2"/>
    <w:basedOn w:val="P0"/>
    <w:next w:val="P6"/>
    <w:pPr>
      <w:ind w:hanging="142" w:left="709"/>
      <w:jc w:val="both"/>
    </w:pPr>
    <w:rPr>
      <w:rFonts w:ascii="Courier New" w:hAnsi="Courier New"/>
      <w:sz w:val="24"/>
      <w:szCs w:val="24"/>
    </w:rPr>
  </w:style>
  <w:style w:type="paragraph" w:styleId="P7">
    <w:name w:val="Body Text Indent 3"/>
    <w:basedOn w:val="P0"/>
    <w:next w:val="P7"/>
    <w:pPr>
      <w:ind w:left="709"/>
      <w:jc w:val="both"/>
    </w:pPr>
    <w:rPr>
      <w:rFonts w:ascii="Courier New" w:hAnsi="Courier New"/>
      <w:sz w:val="24"/>
      <w:szCs w:val="24"/>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theme>
</file>

<file path=docProps/app.xml><?xml version="1.0" encoding="utf-8"?>
<Properties xmlns="http://schemas.openxmlformats.org/officeDocument/2006/extended-properties">
  <Application>DevExpress Office File API/25.2.3.0</Application>
  <AppVersion>25.2</AppVersion>
  <Company> </Company>
  <Template>Normal</Template>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xavier</dc:creator>
  <dcterms:created xsi:type="dcterms:W3CDTF">2026-07-09T18:55:41Z</dcterms:created>
  <cp:lastModifiedBy>Federico Parisi</cp:lastModifiedBy>
  <cp:lastPrinted>2007-09-17T12:00:00Z</cp:lastPrinted>
  <dcterms:modified xsi:type="dcterms:W3CDTF">2026-07-09T18:55:41Z</dcterms:modified>
  <cp:revision>2</cp:revision>
  <dc:title>P R O Y E C T O   D E   O R D E N A N Z A</dc:title>
</cp:coreProperties>
</file>