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7824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31/07;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por el Sr. Miguel Angel Lucero solicitando eximición de los Derechos de Introducción al Cementerio y Concesión de Uso;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solicitante manifiesta no poder hacer frente a dicho pago;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estudio socioeconómico realizado indica que el grupo familiar se sostiene de ingresos inestables derivados de trabajos independientes que realiza el padre del hogar y que reciben módulo alimentario;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fallecida es una hija de 5 años;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EXÍMASE</w:t>
      </w:r>
      <w:r>
        <w:rPr>
          <w:rFonts w:ascii="Courier New" w:hAnsi="Courier New"/>
        </w:rPr>
        <w:t xml:space="preserve"> del pago de los Derechos de Introducción y Concesión de Uso por el término de diez (10) años a la Identificación Nº 2783, haciéndose cargo el solicitante de la Tasa por Servicios de Administración y Mantenimiento de Cementerio.</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2026-07-09T18:55:14Z</dcterms:created>
  <cp:lastModifiedBy>Federico Parisi</cp:lastModifiedBy>
  <cp:lastPrinted>2007-09-17T12:37:00Z</cp:lastPrinted>
  <dcterms:modified xsi:type="dcterms:W3CDTF">2026-07-09T18:55:14Z</dcterms:modified>
  <cp:revision>2</cp:revision>
  <dc:title>P R O Y E C T O   D E   O R D E N A N Z A</dc:title>
</cp:coreProperties>
</file>