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7825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1647/06;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por el Sr. Juan Elías López solicitando Plan de Pagos de acuerdo a sus posibilidades por la deuda que en concepto de Tasa por Servicios a la Propiedad mantiene con el Municipio por el inmueble designación catastral 3-01-283-005-000;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inmueble se encuentra a nombre de los padres del solicitante, habiendo fallecido su padre;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deuda se encuentra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estudio socioeconómico realizado obrante a Fs. 16 informa que el solicitante convive con su madre pensionada, con una pensión mínima, dos hermanos mayores, una discapacitada, ambos sin ingresos, su esposa que es ama de casa y 2 hijos menores y el ingreso del Sr. López también es mínimo indicando el informe socioeconómico que el grupo familiar llega a cubrir escasamente sus necesidades;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mantenida una reunión con el solicitante el mismo manifiesta su voluntad de abonar las cuotas actuales y ofrece una cuota de veinte pesos ($20.-) por la deuda;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r>
        <w:rPr>
          <w:rFonts w:ascii="Courier New" w:hAnsi="Courier New"/>
        </w:rPr>
        <w:t>...///</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left="0"/>
        <w:rPr>
          <w:rFonts w:ascii="Courier New" w:hAnsi="Courier New"/>
        </w:rPr>
      </w:pPr>
      <w:r>
        <w:rPr>
          <w:rFonts w:ascii="Courier New" w:hAnsi="Courier New"/>
        </w:rPr>
        <w:t>...///2.-</w:t>
      </w: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otorgar al Sr. Juan Elías López un Plan de Pagos en cuotas que no superen la suma de veinte pesos ($20.-) por mes para abonar la deuda hasta la promulgación de la presente Ordenanza que en concepto de Tasa por Servicios a la Propiedad mantiene por el inmueble designación catastral 3-01-283-005-000, debiendo cobrarse primero los gastos y honorarios del juicio en las cuotas acordadas.</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EL</w:t>
      </w:r>
      <w:r>
        <w:rPr>
          <w:rFonts w:ascii="Courier New" w:hAnsi="Courier New"/>
        </w:rPr>
        <w:t xml:space="preserve"> solicitante deberá abonar a partir de la promulgación de la presente Ordenanza las Tasas actuales.</w:t>
      </w: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 xml:space="preserve">CADÚQUESE </w:t>
      </w:r>
      <w:r>
        <w:rPr>
          <w:rFonts w:ascii="Courier New" w:hAnsi="Courier New"/>
        </w:rPr>
        <w:t>en forma automática el beneficio otorgado en caso de venta o transferencia del inmueble o registrarse una mora de 3 cuotas consecutivas o 5 alternadas del Plan de Pagos y de las Tasas actuales.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2026-07-09T18:55:06Z</dcterms:created>
  <cp:lastModifiedBy>Federico Parisi</cp:lastModifiedBy>
  <cp:lastPrinted>2007-09-17T12:37:00Z</cp:lastPrinted>
  <dcterms:modified xsi:type="dcterms:W3CDTF">2026-07-09T18:55:06Z</dcterms:modified>
  <cp:revision>2</cp:revision>
  <dc:title>P R O Y E C T O   D E   O R D E N A N Z A</dc:title>
</cp:coreProperties>
</file>