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4"/>
        <w:rPr>
          <w:rFonts w:ascii="Courier New" w:hAnsi="Courier New"/>
          <w:b w:val="1"/>
          <w:bCs w:val="1"/>
          <w:u w:val="single"/>
        </w:rPr>
      </w:pPr>
      <w:r>
        <w:rPr>
          <w:rFonts w:ascii="Courier New" w:hAnsi="Courier New"/>
          <w:b w:val="1"/>
          <w:bCs w:val="1"/>
          <w:u w:val="single"/>
        </w:rPr>
        <w:t>ORDENANZA Nº 7826</w:t>
      </w:r>
    </w:p>
    <w:p>
      <w:pPr>
        <w:pStyle w:val="P1"/>
        <w:jc w:val="center"/>
        <w:rPr>
          <w:rFonts w:cs="Times New Roman"/>
          <w:sz w:val="24"/>
          <w:szCs w:val="24"/>
          <w:u w:val="single"/>
        </w:rPr>
      </w:pPr>
    </w:p>
    <w:p>
      <w:pPr>
        <w:pStyle w:val="P1"/>
        <w:jc w:val="center"/>
        <w:rPr>
          <w:rFonts w:cs="Times New Roman"/>
          <w:sz w:val="24"/>
          <w:szCs w:val="24"/>
          <w:u w:val="single"/>
        </w:rPr>
      </w:pPr>
    </w:p>
    <w:p>
      <w:pPr>
        <w:pStyle w:val="P1"/>
        <w:rPr>
          <w:rFonts w:cs="Times New Roman"/>
          <w:sz w:val="24"/>
          <w:szCs w:val="24"/>
        </w:rPr>
      </w:pPr>
      <w:r>
        <w:rPr>
          <w:rFonts w:cs="Times New Roman"/>
          <w:sz w:val="24"/>
          <w:szCs w:val="24"/>
        </w:rPr>
        <w:t>Visto: El Expediente Nº 447/07; y</w:t>
      </w:r>
    </w:p>
    <w:p>
      <w:pPr>
        <w:pStyle w:val="P1"/>
        <w:rPr>
          <w:rFonts w:cs="Times New Roman"/>
          <w:sz w:val="24"/>
          <w:szCs w:val="24"/>
        </w:rPr>
      </w:pPr>
    </w:p>
    <w:p>
      <w:pPr>
        <w:pStyle w:val="P1"/>
        <w:rPr>
          <w:rFonts w:cs="Times New Roman"/>
          <w:sz w:val="24"/>
          <w:szCs w:val="24"/>
        </w:rPr>
      </w:pPr>
    </w:p>
    <w:p>
      <w:pPr>
        <w:pStyle w:val="P1"/>
        <w:jc w:val="center"/>
        <w:rPr>
          <w:rFonts w:cs="Times New Roman"/>
          <w:b w:val="1"/>
          <w:bCs w:val="1"/>
          <w:sz w:val="24"/>
          <w:szCs w:val="24"/>
        </w:rPr>
      </w:pPr>
      <w:r>
        <w:rPr>
          <w:rFonts w:cs="Times New Roman"/>
          <w:b w:val="1"/>
          <w:bCs w:val="1"/>
          <w:sz w:val="24"/>
          <w:szCs w:val="24"/>
        </w:rPr>
        <w:t>C O N S I D E R A N D O</w:t>
      </w:r>
    </w:p>
    <w:p>
      <w:pPr>
        <w:pStyle w:val="P1"/>
        <w:jc w:val="both"/>
        <w:rPr>
          <w:rFonts w:cs="Times New Roman"/>
          <w:sz w:val="24"/>
          <w:szCs w:val="24"/>
        </w:rPr>
      </w:pPr>
    </w:p>
    <w:p>
      <w:pPr>
        <w:pStyle w:val="P1"/>
        <w:jc w:val="both"/>
        <w:rPr>
          <w:rFonts w:cs="Times New Roman"/>
          <w:sz w:val="24"/>
          <w:szCs w:val="24"/>
        </w:rPr>
      </w:pPr>
    </w:p>
    <w:p>
      <w:pPr>
        <w:pStyle w:val="P1"/>
        <w:ind w:left="709"/>
        <w:jc w:val="both"/>
        <w:rPr>
          <w:rFonts w:cs="Times New Roman"/>
          <w:sz w:val="24"/>
          <w:szCs w:val="24"/>
        </w:rPr>
      </w:pPr>
      <w:r>
        <w:rPr>
          <w:rFonts w:cs="Times New Roman"/>
          <w:sz w:val="24"/>
          <w:szCs w:val="24"/>
        </w:rPr>
        <w:t>Que el mismo es presentado por García Licia Mariana el 19 de abril de 2007, solicitando autorización por vía de la excepción;</w:t>
      </w:r>
    </w:p>
    <w:p>
      <w:pPr>
        <w:pStyle w:val="P1"/>
        <w:ind w:left="709"/>
        <w:jc w:val="both"/>
        <w:rPr>
          <w:rFonts w:cs="Times New Roman"/>
          <w:sz w:val="24"/>
          <w:szCs w:val="24"/>
        </w:rPr>
      </w:pPr>
    </w:p>
    <w:p>
      <w:pPr>
        <w:pStyle w:val="P1"/>
        <w:ind w:left="709"/>
        <w:jc w:val="both"/>
        <w:rPr>
          <w:rFonts w:cs="Times New Roman"/>
          <w:sz w:val="24"/>
          <w:szCs w:val="24"/>
        </w:rPr>
      </w:pPr>
      <w:r>
        <w:rPr>
          <w:rFonts w:cs="Times New Roman"/>
          <w:sz w:val="24"/>
          <w:szCs w:val="24"/>
        </w:rPr>
        <w:t xml:space="preserve">Que a Fs. 4 y 5 la Arq. Ana Lamberguini solicita se autorice por vía de la excepción al Artículo 115 de la Ordenanza Nº 4518, Área de Protección de Primer Orden, la ampliación sobre obra ya existente en calle Chile 51, motiva tal solicitud en que la construcción se encuentra dentro del Área de Protección de Primer Orden donde el Artículo 115 “prohíbe el uso de ladrillo a la  vista sobre grandes superficies de fachada...”;</w:t>
      </w:r>
    </w:p>
    <w:p>
      <w:pPr>
        <w:pStyle w:val="P1"/>
        <w:ind w:left="709"/>
        <w:jc w:val="both"/>
        <w:rPr>
          <w:rFonts w:cs="Times New Roman"/>
          <w:sz w:val="24"/>
          <w:szCs w:val="24"/>
        </w:rPr>
      </w:pPr>
    </w:p>
    <w:p>
      <w:pPr>
        <w:pStyle w:val="P1"/>
        <w:ind w:left="709"/>
        <w:jc w:val="both"/>
        <w:rPr>
          <w:rFonts w:cs="Times New Roman"/>
          <w:sz w:val="24"/>
          <w:szCs w:val="24"/>
        </w:rPr>
      </w:pPr>
      <w:r>
        <w:rPr>
          <w:rFonts w:cs="Times New Roman"/>
          <w:sz w:val="24"/>
          <w:szCs w:val="24"/>
        </w:rPr>
        <w:t>Que en el plano a Fs. 3 (vuelta) Área de Obras Privadas informa que la superficie ya existente, Expediente Nº 352/87, se encuentra con final de obra parcial y que se debe presentar nota informando si se construyó o demolió el garaje, que en caso de no existir estaría fuera del Artículo 230, inc. a, (estacionamientos) de la Ordenanza Nº 1294;</w:t>
      </w:r>
    </w:p>
    <w:p>
      <w:pPr>
        <w:pStyle w:val="P1"/>
        <w:ind w:left="709"/>
        <w:jc w:val="both"/>
        <w:rPr>
          <w:rFonts w:cs="Times New Roman"/>
          <w:sz w:val="24"/>
          <w:szCs w:val="24"/>
        </w:rPr>
      </w:pPr>
    </w:p>
    <w:p>
      <w:pPr>
        <w:pStyle w:val="P1"/>
        <w:ind w:left="709"/>
        <w:jc w:val="both"/>
        <w:rPr>
          <w:rFonts w:cs="Times New Roman"/>
          <w:sz w:val="24"/>
          <w:szCs w:val="24"/>
        </w:rPr>
      </w:pPr>
      <w:r>
        <w:rPr>
          <w:rFonts w:cs="Times New Roman"/>
          <w:sz w:val="24"/>
          <w:szCs w:val="24"/>
        </w:rPr>
        <w:t>Que por nota la Arq. Ana Lamberghini manifiesta que nunca se construyó la superficie proyectada con destino a garaje cubierto y que se plantea el estacionamiento a cielo abierto para 3 vehículos dando entrada a éstos por “Pasaje Alberdi”;</w:t>
      </w:r>
    </w:p>
    <w:p>
      <w:pPr>
        <w:pStyle w:val="P1"/>
        <w:ind w:left="709"/>
        <w:jc w:val="both"/>
        <w:rPr>
          <w:rFonts w:cs="Times New Roman"/>
          <w:sz w:val="24"/>
          <w:szCs w:val="24"/>
        </w:rPr>
      </w:pPr>
    </w:p>
    <w:p>
      <w:pPr>
        <w:pStyle w:val="P1"/>
        <w:ind w:left="680"/>
        <w:jc w:val="both"/>
        <w:rPr>
          <w:rFonts w:cs="Times New Roman"/>
          <w:sz w:val="24"/>
          <w:szCs w:val="24"/>
        </w:rPr>
      </w:pPr>
      <w:r>
        <w:rPr>
          <w:rFonts w:cs="Times New Roman"/>
          <w:sz w:val="24"/>
          <w:szCs w:val="24"/>
        </w:rPr>
        <w:t>Que a Fs. 4 se menciona la intención de respetar el entorno tal cual hace alusión el Área competente de informar al respecto;</w:t>
      </w:r>
    </w:p>
    <w:p>
      <w:pPr>
        <w:pStyle w:val="P1"/>
        <w:ind w:left="680"/>
        <w:jc w:val="both"/>
        <w:rPr>
          <w:rFonts w:cs="Times New Roman"/>
          <w:sz w:val="24"/>
          <w:szCs w:val="24"/>
        </w:rPr>
      </w:pPr>
    </w:p>
    <w:p>
      <w:pPr>
        <w:pStyle w:val="P1"/>
        <w:ind w:left="680"/>
        <w:jc w:val="both"/>
        <w:rPr>
          <w:rFonts w:cs="Times New Roman"/>
          <w:sz w:val="24"/>
          <w:szCs w:val="24"/>
        </w:rPr>
      </w:pPr>
      <w:r>
        <w:rPr>
          <w:rFonts w:cs="Times New Roman"/>
          <w:sz w:val="24"/>
          <w:szCs w:val="24"/>
        </w:rPr>
        <w:t>Que a Fs. 8 y 14 Área de Patrimonio informa que la construcción no se encuentra inventariada como Bien Patrimonial y que la misma corresponde a construcción realizada en la década de 1980;</w:t>
      </w:r>
    </w:p>
    <w:p>
      <w:pPr>
        <w:pStyle w:val="P1"/>
        <w:ind w:left="680"/>
        <w:jc w:val="right"/>
        <w:rPr>
          <w:rFonts w:cs="Times New Roman"/>
          <w:sz w:val="24"/>
          <w:szCs w:val="24"/>
        </w:rPr>
      </w:pPr>
      <w:r>
        <w:rPr>
          <w:rFonts w:cs="Times New Roman"/>
          <w:sz w:val="24"/>
          <w:szCs w:val="24"/>
        </w:rPr>
        <w:t>...///</w:t>
      </w:r>
    </w:p>
    <w:p>
      <w:pPr>
        <w:pStyle w:val="P1"/>
        <w:ind w:left="680"/>
        <w:jc w:val="both"/>
        <w:rPr>
          <w:rFonts w:cs="Times New Roman"/>
          <w:sz w:val="24"/>
          <w:szCs w:val="24"/>
        </w:rPr>
      </w:pPr>
    </w:p>
    <w:p>
      <w:pPr>
        <w:pStyle w:val="P1"/>
        <w:ind w:left="680"/>
        <w:jc w:val="both"/>
        <w:rPr>
          <w:rFonts w:cs="Times New Roman"/>
          <w:sz w:val="24"/>
          <w:szCs w:val="24"/>
        </w:rPr>
      </w:pPr>
    </w:p>
    <w:p>
      <w:pPr>
        <w:pStyle w:val="P1"/>
        <w:ind w:left="680"/>
        <w:jc w:val="both"/>
        <w:rPr>
          <w:rFonts w:cs="Times New Roman"/>
          <w:sz w:val="24"/>
          <w:szCs w:val="24"/>
        </w:rPr>
      </w:pPr>
    </w:p>
    <w:p>
      <w:pPr>
        <w:pStyle w:val="P1"/>
        <w:ind w:left="680"/>
        <w:jc w:val="both"/>
        <w:rPr>
          <w:rFonts w:cs="Times New Roman"/>
          <w:sz w:val="24"/>
          <w:szCs w:val="24"/>
        </w:rPr>
      </w:pPr>
    </w:p>
    <w:p>
      <w:pPr>
        <w:pStyle w:val="P1"/>
        <w:ind w:left="680"/>
        <w:jc w:val="both"/>
        <w:rPr>
          <w:rFonts w:cs="Times New Roman"/>
          <w:sz w:val="24"/>
          <w:szCs w:val="24"/>
        </w:rPr>
      </w:pPr>
    </w:p>
    <w:p>
      <w:pPr>
        <w:pStyle w:val="P1"/>
        <w:jc w:val="both"/>
        <w:rPr>
          <w:rFonts w:cs="Times New Roman"/>
          <w:sz w:val="24"/>
          <w:szCs w:val="24"/>
        </w:rPr>
      </w:pPr>
    </w:p>
    <w:p>
      <w:pPr>
        <w:pStyle w:val="P1"/>
        <w:jc w:val="both"/>
        <w:rPr>
          <w:rFonts w:cs="Times New Roman"/>
          <w:sz w:val="24"/>
          <w:szCs w:val="24"/>
        </w:rPr>
      </w:pPr>
    </w:p>
    <w:p>
      <w:pPr>
        <w:pStyle w:val="P1"/>
        <w:jc w:val="both"/>
        <w:rPr>
          <w:rFonts w:cs="Times New Roman"/>
          <w:sz w:val="24"/>
          <w:szCs w:val="24"/>
        </w:rPr>
      </w:pPr>
      <w:r>
        <w:rPr>
          <w:rFonts w:cs="Times New Roman"/>
          <w:sz w:val="24"/>
          <w:szCs w:val="24"/>
        </w:rPr>
        <w:t>...///2.-</w:t>
      </w:r>
    </w:p>
    <w:p>
      <w:pPr>
        <w:pStyle w:val="P1"/>
        <w:ind w:left="680"/>
        <w:jc w:val="both"/>
        <w:rPr>
          <w:rFonts w:cs="Times New Roman"/>
          <w:sz w:val="24"/>
          <w:szCs w:val="24"/>
        </w:rPr>
      </w:pPr>
    </w:p>
    <w:p>
      <w:pPr>
        <w:pStyle w:val="P1"/>
        <w:ind w:left="709"/>
        <w:jc w:val="both"/>
        <w:rPr>
          <w:rFonts w:cs="Times New Roman"/>
          <w:sz w:val="24"/>
          <w:szCs w:val="24"/>
        </w:rPr>
      </w:pPr>
      <w:r>
        <w:rPr>
          <w:rFonts w:cs="Times New Roman"/>
          <w:sz w:val="24"/>
          <w:szCs w:val="24"/>
        </w:rPr>
        <w:t>Que a Fs. 3, el plano figura a nombre de García Licia Mariana, García Leandro Alvaro y García Mauro Bernabé y a fs. 2 (vuelta) Área Catastro informa que el inmueble se encuentra a nombre de García Juan Carlos, debiendo presentar escritura;</w:t>
      </w:r>
    </w:p>
    <w:p>
      <w:pPr>
        <w:pStyle w:val="P1"/>
        <w:ind w:left="709"/>
        <w:jc w:val="both"/>
        <w:rPr>
          <w:rFonts w:cs="Times New Roman"/>
          <w:sz w:val="24"/>
          <w:szCs w:val="24"/>
        </w:rPr>
      </w:pPr>
    </w:p>
    <w:p>
      <w:pPr>
        <w:pStyle w:val="P1"/>
        <w:ind w:left="709"/>
        <w:jc w:val="both"/>
        <w:rPr>
          <w:rFonts w:cs="Times New Roman"/>
          <w:sz w:val="24"/>
          <w:szCs w:val="24"/>
        </w:rPr>
      </w:pPr>
      <w:r>
        <w:rPr>
          <w:rFonts w:cs="Times New Roman"/>
          <w:sz w:val="24"/>
          <w:szCs w:val="24"/>
        </w:rPr>
        <w:t>Que se apersona el Sr. García Juan Carlos con la Arq. Lamberguini informando que es su voluntad realizar traslación de dominio a nombre de sus hijos y que allí estuvo la confusión, según lo expresa por nota a fs. 10 con fecha 5 de septiembre mencionando que ha sido un error involuntario;</w:t>
      </w:r>
    </w:p>
    <w:p>
      <w:pPr>
        <w:pStyle w:val="P1"/>
        <w:ind w:left="709"/>
        <w:jc w:val="both"/>
        <w:rPr>
          <w:rFonts w:cs="Times New Roman"/>
          <w:sz w:val="24"/>
          <w:szCs w:val="24"/>
        </w:rPr>
      </w:pPr>
    </w:p>
    <w:p>
      <w:pPr>
        <w:pStyle w:val="P5"/>
        <w:ind w:left="709"/>
        <w:jc w:val="both"/>
        <w:rPr>
          <w:rFonts w:ascii="Courier New" w:hAnsi="Courier New"/>
        </w:rPr>
      </w:pPr>
      <w:r>
        <w:rPr>
          <w:rFonts w:ascii="Courier New" w:hAnsi="Courier New"/>
        </w:rPr>
        <w:t>Que evaluado el contenido del Expediente mencionado por Comisión de Obras y Servicios Públicos, la misma emite despacho en el marco de las Ordenanzas vigentes, despacho aprobado por unanimidad en Sesión Ordinaria de fecha 6 de septiembre de 2007.</w:t>
      </w:r>
    </w:p>
    <w:p>
      <w:pPr>
        <w:pStyle w:val="P5"/>
        <w:jc w:val="both"/>
        <w:rPr>
          <w:rFonts w:ascii="Courier New" w:hAnsi="Courier New"/>
          <w:b w:val="1"/>
          <w:bCs w:val="1"/>
        </w:rPr>
      </w:pPr>
    </w:p>
    <w:p>
      <w:pPr>
        <w:pStyle w:val="P5"/>
        <w:jc w:val="both"/>
        <w:rPr>
          <w:rFonts w:ascii="Courier New" w:hAnsi="Courier New"/>
          <w:b w:val="1"/>
          <w:bCs w:val="1"/>
        </w:rPr>
      </w:pPr>
    </w:p>
    <w:p>
      <w:pPr>
        <w:pStyle w:val="P5"/>
        <w:jc w:val="center"/>
        <w:rPr>
          <w:rFonts w:ascii="Courier New" w:hAnsi="Courier New"/>
          <w:b w:val="1"/>
          <w:bCs w:val="1"/>
        </w:rPr>
      </w:pPr>
      <w:r>
        <w:rPr>
          <w:rFonts w:ascii="Courier New" w:hAnsi="Courier New"/>
          <w:b w:val="1"/>
          <w:bCs w:val="1"/>
        </w:rPr>
        <w:t>EL HONORABLE CONCEJO DELIBERANTE DE LA CIUDAD DE</w:t>
      </w:r>
    </w:p>
    <w:p>
      <w:pPr>
        <w:pStyle w:val="P5"/>
        <w:ind w:left="1275"/>
        <w:jc w:val="both"/>
        <w:rPr>
          <w:rFonts w:ascii="Courier New" w:hAnsi="Courier New"/>
          <w:b w:val="1"/>
          <w:bCs w:val="1"/>
        </w:rPr>
      </w:pPr>
    </w:p>
    <w:p>
      <w:pPr>
        <w:pStyle w:val="P5"/>
        <w:ind w:left="1275"/>
        <w:jc w:val="both"/>
        <w:rPr>
          <w:rFonts w:ascii="Courier New" w:hAnsi="Courier New"/>
          <w:b w:val="1"/>
          <w:bCs w:val="1"/>
        </w:rPr>
      </w:pPr>
    </w:p>
    <w:p>
      <w:pPr>
        <w:pStyle w:val="P5"/>
        <w:ind w:left="1275"/>
        <w:jc w:val="both"/>
        <w:rPr>
          <w:rFonts w:ascii="Courier New" w:hAnsi="Courier New"/>
          <w:b w:val="1"/>
          <w:bCs w:val="1"/>
        </w:rPr>
      </w:pPr>
    </w:p>
    <w:p>
      <w:pPr>
        <w:pStyle w:val="P5"/>
        <w:ind w:left="1275"/>
        <w:jc w:val="both"/>
        <w:rPr>
          <w:rFonts w:ascii="Courier New" w:hAnsi="Courier New"/>
          <w:b w:val="1"/>
          <w:bCs w:val="1"/>
        </w:rPr>
      </w:pPr>
      <w:r>
        <w:rPr>
          <w:rFonts w:ascii="Courier New" w:hAnsi="Courier New"/>
          <w:b w:val="1"/>
          <w:bCs w:val="1"/>
        </w:rPr>
        <w:t>ALTA GRACIA SANCIONA CON FUERZA DE ORDENANZA</w:t>
      </w:r>
    </w:p>
    <w:p>
      <w:pPr>
        <w:pStyle w:val="P1"/>
        <w:ind w:left="709"/>
        <w:jc w:val="both"/>
        <w:rPr>
          <w:rFonts w:cs="Times New Roman"/>
          <w:sz w:val="24"/>
          <w:szCs w:val="24"/>
          <w:u w:val="single"/>
        </w:rPr>
      </w:pPr>
    </w:p>
    <w:p>
      <w:pPr>
        <w:pStyle w:val="P1"/>
        <w:tabs>
          <w:tab w:val="left" w:pos="284" w:leader="none"/>
        </w:tabs>
        <w:ind w:hanging="426" w:left="426"/>
        <w:jc w:val="both"/>
        <w:rPr>
          <w:rFonts w:cs="Times New Roman"/>
          <w:sz w:val="24"/>
          <w:szCs w:val="24"/>
          <w:u w:val="single"/>
        </w:rPr>
      </w:pPr>
    </w:p>
    <w:p>
      <w:pPr>
        <w:pStyle w:val="P1"/>
        <w:tabs>
          <w:tab w:val="left" w:pos="284" w:leader="none"/>
        </w:tabs>
        <w:ind w:hanging="426" w:left="426"/>
        <w:jc w:val="both"/>
        <w:rPr>
          <w:rFonts w:cs="Times New Roman"/>
          <w:sz w:val="24"/>
          <w:szCs w:val="24"/>
        </w:rPr>
      </w:pPr>
      <w:r>
        <w:rPr>
          <w:rFonts w:cs="Times New Roman"/>
          <w:b w:val="1"/>
          <w:bCs w:val="1"/>
          <w:sz w:val="24"/>
          <w:szCs w:val="24"/>
          <w:u w:val="single"/>
        </w:rPr>
        <w:t>Art.1</w:t>
      </w:r>
      <w:r>
        <w:rPr>
          <w:rFonts w:cs="Times New Roman"/>
          <w:b w:val="1"/>
          <w:bCs w:val="1"/>
          <w:sz w:val="24"/>
          <w:szCs w:val="24"/>
        </w:rPr>
        <w:t>: AUTORÍZASE</w:t>
      </w:r>
      <w:r>
        <w:rPr>
          <w:rFonts w:cs="Times New Roman"/>
          <w:sz w:val="24"/>
          <w:szCs w:val="24"/>
        </w:rPr>
        <w:t xml:space="preserve"> por vía de la excepción al Artículo 115  de la Ordenanza Nº 4518 la construcción planteada en el plano a fs. 3 del Expediente Nº 447/07, designación catastral C1-S1-Mz.109-Parc. 17-lote 7-Mz.Of. “W” a nombre del Señor García Juan Carlos, D.N.I. 6.437.790.</w:t>
      </w:r>
    </w:p>
    <w:p>
      <w:pPr>
        <w:pStyle w:val="P1"/>
        <w:tabs>
          <w:tab w:val="left" w:pos="284" w:leader="none"/>
        </w:tabs>
        <w:ind w:hanging="426" w:left="426"/>
        <w:jc w:val="both"/>
        <w:rPr>
          <w:rFonts w:cs="Times New Roman"/>
          <w:sz w:val="24"/>
          <w:szCs w:val="24"/>
        </w:rPr>
      </w:pPr>
    </w:p>
    <w:p>
      <w:pPr>
        <w:pStyle w:val="P6"/>
        <w:ind w:hanging="709" w:left="709"/>
        <w:jc w:val="both"/>
        <w:outlineLvl w:val="0"/>
        <w:rPr>
          <w:rFonts w:ascii="Courier New" w:hAnsi="Courier New"/>
        </w:rPr>
      </w:pPr>
      <w:r>
        <w:rPr>
          <w:rFonts w:ascii="Courier New" w:hAnsi="Courier New"/>
          <w:b w:val="1"/>
          <w:bCs w:val="1"/>
          <w:u w:val="single"/>
        </w:rPr>
        <w:t>Art.2</w:t>
      </w:r>
      <w:r>
        <w:rPr>
          <w:rFonts w:ascii="Courier New" w:hAnsi="Courier New"/>
          <w:b w:val="1"/>
          <w:bCs w:val="1"/>
        </w:rPr>
        <w:t>: PROTOCOLÍCESE</w:t>
      </w:r>
      <w:r>
        <w:rPr>
          <w:rFonts w:ascii="Courier New" w:hAnsi="Courier New"/>
        </w:rPr>
        <w:t>, comuníquese, publíquese en el Boletín Oficial de la Ciudad de Alta Gracia, transcríbase al Libro de Ordenanzas y archívese.</w:t>
      </w:r>
    </w:p>
    <w:p>
      <w:pPr>
        <w:pStyle w:val="P1"/>
        <w:jc w:val="both"/>
        <w:rPr>
          <w:rFonts w:cs="Times New Roman"/>
          <w:sz w:val="24"/>
          <w:szCs w:val="24"/>
          <w:u w:val="single"/>
          <w:lang/>
        </w:rPr>
      </w:pPr>
    </w:p>
    <w:p>
      <w:pPr>
        <w:pStyle w:val="P1"/>
        <w:jc w:val="both"/>
        <w:rPr>
          <w:rFonts w:cs="Times New Roman"/>
          <w:sz w:val="24"/>
          <w:szCs w:val="24"/>
          <w:u w:val="single"/>
          <w:lang/>
        </w:rPr>
      </w:pPr>
    </w:p>
    <w:p>
      <w:pPr>
        <w:pStyle w:val="P1"/>
        <w:jc w:val="both"/>
        <w:rPr>
          <w:rFonts w:cs="Times New Roman"/>
          <w:sz w:val="24"/>
          <w:szCs w:val="24"/>
          <w:u w:val="single"/>
          <w:lang/>
        </w:rPr>
      </w:pPr>
    </w:p>
    <w:p>
      <w:pPr>
        <w:pStyle w:val="P1"/>
        <w:jc w:val="both"/>
        <w:rPr>
          <w:rFonts w:cs="Times New Roman"/>
          <w:sz w:val="24"/>
          <w:szCs w:val="24"/>
          <w:u w:val="single"/>
          <w:lang/>
        </w:rPr>
      </w:pPr>
      <w:r>
        <w:rPr>
          <w:b w:val="1"/>
          <w:bCs w:val="1"/>
          <w:sz w:val="24"/>
          <w:szCs w:val="24"/>
        </w:rPr>
        <w:t>DADA EN LA SALA DE SESIONES DEL HONORABLE CONCEJO DELIBERANTE A LOS SEIS DÍAS DEL MES DE SEPTIEMBRE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46654931"/>
    <w:multiLevelType w:val="multilevel"/>
    <w:lvl w:ilvl="0">
      <w:start w:val="1"/>
      <w:numFmt w:val="lowerLetter"/>
      <w:suff w:val="tab"/>
      <w:lvlText w:val="%1)"/>
      <w:lvlJc w:val="left"/>
      <w:pPr>
        <w:ind w:hanging="480" w:left="1188"/>
        <w:tabs>
          <w:tab w:val="num" w:pos="1188"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680"/>
  <w:autoHyphenation w:val="0"/>
  <w:hyphenationZone w:val="425"/>
  <w:evenAndOddHeaders w:val="0"/>
  <w:characterSpacingControl w:val="compressPunctuation"/>
  <w:compat>
    <w:alignTablesRowByRow/>
    <w:splitPgBreakAndParaMark/>
    <w:doNotBreakConstrainedForcedTable/>
    <w:doNotBreakWrappedTables/>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lang w:val="es-AR"/>
    </w:rPr>
  </w:style>
  <w:style w:type="paragraph" w:styleId="P3">
    <w:name w:val="Body Text"/>
    <w:basedOn w:val="P0"/>
    <w:next w:val="P3"/>
    <w:pPr/>
    <w:rPr>
      <w:b w:val="1"/>
      <w:bCs w:val="1"/>
      <w:sz w:val="28"/>
      <w:szCs w:val="28"/>
      <w:lang w:val="es-UY"/>
    </w:rPr>
  </w:style>
  <w:style w:type="paragraph" w:styleId="P4">
    <w:name w:val="Title"/>
    <w:basedOn w:val="P0"/>
    <w:next w:val="P4"/>
    <w:pPr>
      <w:jc w:val="center"/>
    </w:pPr>
    <w:rPr>
      <w:sz w:val="24"/>
      <w:szCs w:val="24"/>
      <w:lang w:val="es-MX"/>
    </w:rPr>
  </w:style>
  <w:style w:type="paragraph" w:styleId="P5">
    <w:name w:val="Body Text Indent"/>
    <w:basedOn w:val="P0"/>
    <w:next w:val="P5"/>
    <w:pPr>
      <w:ind w:left="567"/>
    </w:pPr>
    <w:rPr>
      <w:sz w:val="24"/>
      <w:szCs w:val="24"/>
      <w:lang/>
    </w:rPr>
  </w:style>
  <w:style w:type="paragraph" w:styleId="P6">
    <w:name w:val="Body Text 2"/>
    <w:basedOn w:val="P0"/>
    <w:next w:val="P6"/>
    <w:pPr>
      <w:jc w:val="center"/>
    </w:pPr>
    <w:rPr>
      <w:sz w:val="24"/>
      <w:szCs w:val="24"/>
      <w:lang/>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~wd07.tmp</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2026-07-09T18:54:58Z</dcterms:created>
  <cp:lastModifiedBy>Federico Parisi</cp:lastModifiedBy>
  <cp:lastPrinted>2007-09-19T17:02:00Z</cp:lastPrinted>
  <dcterms:modified xsi:type="dcterms:W3CDTF">2026-07-09T18:54:58Z</dcterms:modified>
  <cp:revision>2</cp:revision>
  <dc:title>1¾   «        M</dc:title>
</cp:coreProperties>
</file>