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7828</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755/06;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 xml:space="preserve">Que el </w:t>
      </w:r>
      <w:r>
        <w:rPr>
          <w:rFonts w:ascii="Courier New" w:hAnsi="Courier New"/>
          <w:lang w:val="es-MX"/>
        </w:rPr>
        <w:t>Sr. Vargas, Hugo Orlando</w:t>
      </w:r>
      <w:r>
        <w:rPr>
          <w:rFonts w:ascii="Courier New" w:hAnsi="Courier New"/>
        </w:rPr>
        <w:t xml:space="preserve"> se presentó ante los miembros de la Comisión de Hacienda a fin de exponer su situación;</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de acuerdo al informe Socioeconómico, el Sr. Vargas vive con un hijo;</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realiza ventas ambulantes, percibiendo un ingreso inestable, que no alcanza a cubrir las necesidades básicas;</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cuenta con servicios de agua corriente y la luz es compartida con el vecino;</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parte de la deuda está en juicio;</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no figura en Catastro como titular del inmueble y hace entrega de fotocopia de solicitud del Registro de Poseedores, con el Programa Tierra para el futuro a su nombre y copia del D.N.I hoja 13 en el que figura el domicilio;</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13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OTÓRGASE</w:t>
      </w:r>
      <w:r>
        <w:rPr>
          <w:rFonts w:ascii="Courier New" w:hAnsi="Courier New"/>
        </w:rPr>
        <w:t xml:space="preserve"> el beneficio del Artículo Nº 3 de la Ordenanza N° 5485, fijando una cuota mensual de Pesos Cinco ($5.-) a partir de la promulgación de la presente hasta diciembre de 2008. </w:t>
      </w:r>
    </w:p>
    <w:p>
      <w:pPr>
        <w:pStyle w:val="P3"/>
        <w:ind w:hanging="709" w:left="709"/>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b w:val="1"/>
          <w:bCs w:val="1"/>
        </w:rPr>
        <w:t>: POR</w:t>
      </w:r>
      <w:r>
        <w:rPr>
          <w:rFonts w:ascii="Courier New" w:hAnsi="Courier New"/>
        </w:rPr>
        <w:t xml:space="preserve"> cada cuota abonada, eximir de igual cantidad de la deuda que pertenece a Tasa por Servicios a la Propiedad de la designación catastral 3-01-008-016-000.</w:t>
      </w:r>
    </w:p>
    <w:p>
      <w:pPr>
        <w:pStyle w:val="P4"/>
        <w:ind w:hanging="709" w:left="709"/>
        <w:jc w:val="both"/>
        <w:outlineLvl w:val="0"/>
        <w:rPr>
          <w:rFonts w:ascii="Courier New" w:hAnsi="Courier New"/>
          <w:b w:val="1"/>
          <w:bCs w:val="1"/>
          <w:u w:val="single"/>
        </w:rPr>
      </w:pPr>
    </w:p>
    <w:p>
      <w:pPr>
        <w:pStyle w:val="P5"/>
        <w:ind w:hanging="709" w:left="709"/>
        <w:jc w:val="both"/>
        <w:rPr>
          <w:sz w:val="24"/>
          <w:szCs w:val="24"/>
          <w:lang/>
        </w:rPr>
      </w:pPr>
      <w:r>
        <w:rPr>
          <w:b w:val="1"/>
          <w:bCs w:val="1"/>
          <w:sz w:val="24"/>
          <w:szCs w:val="24"/>
          <w:u w:val="single"/>
          <w:lang/>
        </w:rPr>
        <w:t>Art.3</w:t>
      </w:r>
      <w:r>
        <w:rPr>
          <w:b w:val="1"/>
          <w:bCs w:val="1"/>
          <w:sz w:val="24"/>
          <w:szCs w:val="24"/>
          <w:lang/>
        </w:rPr>
        <w:t xml:space="preserve">: LOS </w:t>
      </w:r>
      <w:r>
        <w:rPr>
          <w:sz w:val="24"/>
          <w:szCs w:val="24"/>
          <w:lang/>
        </w:rPr>
        <w:t>beneficios otorgados, son bajo las condiciones de la Ordenanza Nº 7710 para personas no titulares que han realizado el trámite de poseedores.</w:t>
      </w:r>
    </w:p>
    <w:p>
      <w:pPr>
        <w:pStyle w:val="P5"/>
        <w:ind w:hanging="709" w:left="709"/>
        <w:jc w:val="both"/>
        <w:rPr>
          <w:b w:val="1"/>
          <w:bCs w:val="1"/>
          <w:sz w:val="24"/>
          <w:szCs w:val="24"/>
          <w:u w:val="single"/>
          <w:lang/>
        </w:rPr>
      </w:pPr>
    </w:p>
    <w:p>
      <w:pPr>
        <w:pStyle w:val="P5"/>
        <w:ind w:hanging="709" w:left="709"/>
        <w:jc w:val="both"/>
        <w:rPr>
          <w:sz w:val="24"/>
          <w:szCs w:val="24"/>
          <w:lang/>
        </w:rPr>
      </w:pPr>
      <w:r>
        <w:rPr>
          <w:b w:val="1"/>
          <w:bCs w:val="1"/>
          <w:sz w:val="24"/>
          <w:szCs w:val="24"/>
          <w:u w:val="single"/>
          <w:lang/>
        </w:rPr>
        <w:t>Art.4</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b w:val="1"/>
          <w:bCs w:val="1"/>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TRECE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2026-07-09T18:54:49Z</dcterms:created>
  <cp:lastModifiedBy>Federico Parisi</cp:lastModifiedBy>
  <cp:lastPrinted>2007-09-29T12:41:00Z</cp:lastPrinted>
  <dcterms:modified xsi:type="dcterms:W3CDTF">2026-07-09T18:54:49Z</dcterms:modified>
  <cp:revision>2</cp:revision>
  <dc:title>P R O Y E C T O   D E   O R D E N A N Z A</dc:title>
</cp:coreProperties>
</file>