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7830</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1389/02;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pStyle w:val="P7"/>
        <w:rPr>
          <w:lang w:val="es-MX"/>
        </w:rPr>
      </w:pPr>
      <w:r>
        <w:rPr>
          <w:lang w:val="es-MX"/>
        </w:rPr>
        <w:t>Que en el mismo y por nota la Sra. Rodríguez, Antonia Carmen Alicia solicita acogerse al beneficio de cuota social;</w:t>
      </w:r>
    </w:p>
    <w:p>
      <w:pPr>
        <w:ind w:left="709"/>
        <w:rPr>
          <w:rFonts w:ascii="Courier New" w:hAnsi="Courier New"/>
          <w:sz w:val="24"/>
          <w:szCs w:val="24"/>
        </w:rPr>
      </w:pPr>
    </w:p>
    <w:p>
      <w:pPr>
        <w:pStyle w:val="P3"/>
        <w:ind w:left="709"/>
        <w:jc w:val="both"/>
        <w:rPr>
          <w:rFonts w:ascii="Courier New" w:hAnsi="Courier New"/>
        </w:rPr>
      </w:pPr>
      <w:r>
        <w:rPr>
          <w:rFonts w:ascii="Courier New" w:hAnsi="Courier New"/>
        </w:rPr>
        <w:t>Que la solicitante posee Acta de tenencia Precaria del inmueble considerado como propiedad única y su esposo no se registra como propietario de inmueble alguno;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a Fs. 31 vuelta, el informe Socioeconómico revela que la solicitante, junto a su esposo realizan tareas esporádicas (venta de praliné) con ingresos monetarios inestables y reciben módulo alimentario para el grupo familiar;</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solicitante junto a su esposo se presentaron ante los miembros de la Comisión de Hacienda a fin de proponer una forma para cancelar la deuda que mantiene con el Municipio mediante un Plan de Pago con cuotas de Pesos diez ($10.-) mensuales;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 entregan copias de documento de la solicitante, como así también un dictamen del Dr. Espíndola en el que aclara, que se encuentra en condiciones de regularizar la deuda de Tasa por Servicios a la Propiedad de la Designación Catastral 1-01-393-021-000;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13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 por la deuda que mantiene con el Municipio la Sra. Rodríguez, Antonia Carmen Alicia, D.N.I Nº 13.384.583, en concepto de Tasa por Servicios a la Propiedad de la Designación Catastral 1-01-393-021-000, con cuotas mensuales de Pesos Diez ($10.-) desde Enero de 1995, hasta la promulgación de la presente.</w:t>
      </w:r>
    </w:p>
    <w:p>
      <w:pPr>
        <w:pStyle w:val="P4"/>
        <w:ind w:hanging="709" w:left="709"/>
        <w:jc w:val="both"/>
        <w:outlineLvl w:val="0"/>
        <w:rPr>
          <w:rFonts w:ascii="Courier New" w:hAnsi="Courier New"/>
          <w:b w:val="1"/>
          <w:bCs w:val="1"/>
          <w:u w:val="single"/>
        </w:rPr>
      </w:pPr>
    </w:p>
    <w:p>
      <w:pPr>
        <w:pStyle w:val="P5"/>
        <w:ind w:hanging="709" w:left="709"/>
        <w:jc w:val="both"/>
        <w:rPr>
          <w:sz w:val="24"/>
          <w:szCs w:val="24"/>
          <w:lang/>
        </w:rPr>
      </w:pPr>
      <w:r>
        <w:rPr>
          <w:b w:val="1"/>
          <w:bCs w:val="1"/>
          <w:sz w:val="24"/>
          <w:szCs w:val="24"/>
          <w:u w:val="single"/>
          <w:lang/>
        </w:rPr>
        <w:t>Art.2</w:t>
      </w:r>
      <w:r>
        <w:rPr>
          <w:b w:val="1"/>
          <w:bCs w:val="1"/>
          <w:sz w:val="24"/>
          <w:szCs w:val="24"/>
          <w:lang/>
        </w:rPr>
        <w:t xml:space="preserve">: EN </w:t>
      </w:r>
      <w:r>
        <w:rPr>
          <w:sz w:val="24"/>
          <w:szCs w:val="24"/>
          <w:lang/>
        </w:rPr>
        <w:t xml:space="preserve">caso de registrarse mora de tres o más cuotas,  cambio de titularidad o transferencia del inmueble, el beneficio otorgado caducará automáticamente.</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Art.3</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TRECE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2026-07-09T18:54:41Z</dcterms:created>
  <cp:lastModifiedBy>Federico Parisi</cp:lastModifiedBy>
  <cp:lastPrinted>2007-10-02T14:43:00Z</cp:lastPrinted>
  <dcterms:modified xsi:type="dcterms:W3CDTF">2026-07-09T18:54:41Z</dcterms:modified>
  <cp:revision>2</cp:revision>
  <dc:title>P R O Y E C T O   D E   O R D E N A N Z A</dc:title>
</cp:coreProperties>
</file>