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rFonts w:cs="Times New Roman"/>
          <w:b w:val="1"/>
          <w:bCs w:val="1"/>
          <w:caps w:val="1"/>
          <w:sz w:val="24"/>
          <w:szCs w:val="24"/>
          <w:u w:val="single"/>
        </w:rPr>
      </w:pPr>
      <w:r>
        <w:rPr>
          <w:rFonts w:cs="Times New Roman"/>
          <w:b w:val="1"/>
          <w:bCs w:val="1"/>
          <w:caps w:val="1"/>
          <w:sz w:val="24"/>
          <w:szCs w:val="24"/>
          <w:u w:val="single"/>
        </w:rPr>
        <w:t>Ordenanza n° 7831</w:t>
      </w:r>
    </w:p>
    <w:p>
      <w:pPr>
        <w:pStyle w:val="P1"/>
        <w:jc w:val="center"/>
        <w:rPr>
          <w:rFonts w:cs="Times New Roman"/>
          <w:sz w:val="24"/>
          <w:szCs w:val="24"/>
          <w:u w:val="single"/>
        </w:rPr>
      </w:pPr>
    </w:p>
    <w:p>
      <w:pPr>
        <w:pStyle w:val="P1"/>
        <w:rPr>
          <w:rFonts w:cs="Times New Roman"/>
          <w:sz w:val="24"/>
          <w:szCs w:val="24"/>
        </w:rPr>
      </w:pPr>
    </w:p>
    <w:p>
      <w:pPr>
        <w:pStyle w:val="P1"/>
        <w:rPr>
          <w:rFonts w:cs="Times New Roman"/>
          <w:sz w:val="24"/>
          <w:szCs w:val="24"/>
        </w:rPr>
      </w:pPr>
      <w:r>
        <w:rPr>
          <w:rFonts w:cs="Times New Roman"/>
          <w:sz w:val="24"/>
          <w:szCs w:val="24"/>
        </w:rPr>
        <w:t>Visto: la Ordenanza N° 7327; y</w:t>
      </w:r>
    </w:p>
    <w:p>
      <w:pPr>
        <w:pStyle w:val="P1"/>
        <w:rPr>
          <w:rFonts w:cs="Times New Roman"/>
          <w:sz w:val="24"/>
          <w:szCs w:val="24"/>
        </w:rPr>
      </w:pPr>
    </w:p>
    <w:p>
      <w:pPr>
        <w:pStyle w:val="P1"/>
        <w:rPr>
          <w:rFonts w:cs="Times New Roman"/>
          <w:sz w:val="24"/>
          <w:szCs w:val="24"/>
        </w:rPr>
      </w:pPr>
    </w:p>
    <w:p>
      <w:pPr>
        <w:pStyle w:val="P1"/>
        <w:jc w:val="center"/>
        <w:rPr>
          <w:rFonts w:cs="Times New Roman"/>
          <w:b w:val="1"/>
          <w:bCs w:val="1"/>
          <w:sz w:val="24"/>
          <w:szCs w:val="24"/>
        </w:rPr>
      </w:pPr>
      <w:r>
        <w:rPr>
          <w:rFonts w:cs="Times New Roman"/>
          <w:b w:val="1"/>
          <w:bCs w:val="1"/>
          <w:sz w:val="24"/>
          <w:szCs w:val="24"/>
        </w:rPr>
        <w:t>C O N S I D E R A N D O</w:t>
      </w:r>
    </w:p>
    <w:p>
      <w:pPr>
        <w:pStyle w:val="P1"/>
        <w:jc w:val="both"/>
        <w:rPr>
          <w:rFonts w:cs="Times New Roman"/>
          <w:sz w:val="24"/>
          <w:szCs w:val="24"/>
        </w:rPr>
      </w:pPr>
    </w:p>
    <w:p>
      <w:pPr>
        <w:pStyle w:val="P1"/>
        <w:jc w:val="both"/>
        <w:rPr>
          <w:rFonts w:cs="Times New Roman"/>
          <w:sz w:val="24"/>
          <w:szCs w:val="24"/>
        </w:rPr>
      </w:pPr>
    </w:p>
    <w:p>
      <w:pPr>
        <w:pStyle w:val="P1"/>
        <w:ind w:left="709"/>
        <w:jc w:val="both"/>
        <w:rPr>
          <w:rFonts w:cs="Times New Roman"/>
          <w:sz w:val="24"/>
          <w:szCs w:val="24"/>
        </w:rPr>
      </w:pPr>
      <w:r>
        <w:rPr>
          <w:rFonts w:cs="Times New Roman"/>
          <w:sz w:val="24"/>
          <w:szCs w:val="24"/>
        </w:rPr>
        <w:t>Que la Ordenanza N° 7327 en su Artículo 2 restringe sobre calle Nieto la circulación de vehículos de gran porte;</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las características topográficas y el sentido de circulación de calle Nieto, hacen que los automovilistas no reparen en demasía en el cuidado de la velocidad de los vehículos al circular frente al Instituto El Obraje, como tampoco al llegar a la esquina de la Iglesia Nuestra Señora de la Merced;</w:t>
      </w:r>
    </w:p>
    <w:p>
      <w:pPr>
        <w:pStyle w:val="P1"/>
        <w:ind w:left="709"/>
        <w:jc w:val="both"/>
        <w:rPr>
          <w:rFonts w:cs="Times New Roman"/>
          <w:sz w:val="24"/>
          <w:szCs w:val="24"/>
        </w:rPr>
      </w:pPr>
    </w:p>
    <w:p>
      <w:pPr>
        <w:pStyle w:val="P1"/>
        <w:ind w:left="680"/>
        <w:jc w:val="both"/>
        <w:rPr>
          <w:rFonts w:cs="Times New Roman"/>
          <w:sz w:val="24"/>
          <w:szCs w:val="24"/>
        </w:rPr>
      </w:pPr>
      <w:r>
        <w:rPr>
          <w:rFonts w:cs="Times New Roman"/>
          <w:sz w:val="24"/>
          <w:szCs w:val="24"/>
        </w:rPr>
        <w:t>Que la resultante de los estudios realizados ha determinado que una de las razones que afectan el deterioro de la Iglesia Nuestra Señora de la Merced son las vibraciones efectuadas por el tránsito vehicular;</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tanto la falta de puesta en funcionamiento y control de la restricción al tránsito de vehículos de gran porte sobre calle Nieto, como la importancia de preservar nuestro patrimonio hacen necesario modificar el Artículo 2 de la Ordenanza N° 7327;</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en virtud de la modificación del sentido de circulación de varias arterias aledañas a la calle Nieto, se hace necesario considerar el Proyecto de Ordenanza presentado por el Departamento Ejecutivo a través del Expediente N° 528/I/07 referido a la intervención sobre calle Lozada entre Av. Belgrano y España;</w:t>
      </w:r>
    </w:p>
    <w:p>
      <w:pPr>
        <w:pStyle w:val="P1"/>
        <w:ind w:left="709"/>
        <w:jc w:val="both"/>
        <w:rPr>
          <w:rFonts w:cs="Times New Roman"/>
          <w:sz w:val="24"/>
          <w:szCs w:val="24"/>
        </w:rPr>
      </w:pPr>
    </w:p>
    <w:p>
      <w:pPr>
        <w:pStyle w:val="P1"/>
        <w:ind w:left="709"/>
        <w:jc w:val="both"/>
        <w:rPr>
          <w:rFonts w:cs="Times New Roman"/>
          <w:sz w:val="24"/>
          <w:szCs w:val="24"/>
        </w:rPr>
      </w:pPr>
      <w:r>
        <w:rPr>
          <w:rFonts w:cs="Times New Roman"/>
          <w:sz w:val="24"/>
          <w:szCs w:val="24"/>
        </w:rPr>
        <w:t>Que analizada la situación descripta junto al Proyecto de Ordenanza de la Comisión de Obras y Servicios Públicos por el Concejo en Comisión, se emite despacho favorable aprobado por unanimidad en Sesión Ordinaria del día 13 de septiembre del año 2007.</w:t>
      </w:r>
    </w:p>
    <w:p>
      <w:pPr>
        <w:pStyle w:val="P1"/>
        <w:tabs>
          <w:tab w:val="left" w:pos="284" w:leader="none"/>
        </w:tabs>
        <w:ind w:hanging="426" w:left="426"/>
        <w:jc w:val="right"/>
        <w:rPr>
          <w:rFonts w:cs="Times New Roman"/>
          <w:sz w:val="24"/>
          <w:szCs w:val="24"/>
        </w:rPr>
      </w:pPr>
      <w:r>
        <w:rPr>
          <w:rFonts w:cs="Times New Roman"/>
          <w:sz w:val="24"/>
          <w:szCs w:val="24"/>
        </w:rPr>
        <w:t>...///</w:t>
      </w:r>
    </w:p>
    <w:p>
      <w:pPr>
        <w:pStyle w:val="P1"/>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p>
    <w:p>
      <w:pPr>
        <w:pStyle w:val="P1"/>
        <w:jc w:val="both"/>
        <w:rPr>
          <w:rFonts w:cs="Times New Roman"/>
          <w:sz w:val="24"/>
          <w:szCs w:val="24"/>
        </w:rPr>
      </w:pPr>
    </w:p>
    <w:p>
      <w:pPr>
        <w:pStyle w:val="P1"/>
        <w:tabs>
          <w:tab w:val="left" w:pos="284" w:leader="none"/>
        </w:tabs>
        <w:ind w:hanging="426" w:left="426"/>
        <w:rPr>
          <w:rFonts w:cs="Times New Roman"/>
          <w:sz w:val="24"/>
          <w:szCs w:val="24"/>
        </w:rPr>
      </w:pPr>
      <w:r>
        <w:rPr>
          <w:rFonts w:cs="Times New Roman"/>
          <w:sz w:val="24"/>
          <w:szCs w:val="24"/>
        </w:rPr>
        <w:t>...///2.-</w:t>
      </w:r>
    </w:p>
    <w:p>
      <w:pPr>
        <w:pStyle w:val="P1"/>
        <w:jc w:val="both"/>
        <w:rPr>
          <w:rFonts w:cs="Times New Roman"/>
          <w:sz w:val="24"/>
          <w:szCs w:val="24"/>
        </w:rPr>
      </w:pPr>
    </w:p>
    <w:p>
      <w:pPr>
        <w:pStyle w:val="P1"/>
        <w:ind w:left="680"/>
        <w:jc w:val="center"/>
        <w:rPr>
          <w:rFonts w:cs="Times New Roman"/>
          <w:b w:val="1"/>
          <w:bCs w:val="1"/>
          <w:sz w:val="24"/>
          <w:szCs w:val="24"/>
        </w:rPr>
      </w:pPr>
      <w:r>
        <w:rPr>
          <w:rFonts w:cs="Times New Roman"/>
          <w:b w:val="1"/>
          <w:bCs w:val="1"/>
          <w:sz w:val="24"/>
          <w:szCs w:val="24"/>
        </w:rPr>
        <w:t>EL HONORABLE CONCEJO DELIBERANTE DE LA CIUDAD DE</w:t>
      </w:r>
    </w:p>
    <w:p>
      <w:pPr>
        <w:pStyle w:val="P1"/>
        <w:ind w:left="680"/>
        <w:jc w:val="center"/>
        <w:rPr>
          <w:rFonts w:cs="Times New Roman"/>
          <w:b w:val="1"/>
          <w:bCs w:val="1"/>
          <w:sz w:val="24"/>
          <w:szCs w:val="24"/>
        </w:rPr>
      </w:pPr>
    </w:p>
    <w:p>
      <w:pPr>
        <w:pStyle w:val="P1"/>
        <w:ind w:left="680"/>
        <w:jc w:val="center"/>
        <w:rPr>
          <w:rFonts w:cs="Times New Roman"/>
          <w:b w:val="1"/>
          <w:bCs w:val="1"/>
          <w:sz w:val="24"/>
          <w:szCs w:val="24"/>
        </w:rPr>
      </w:pPr>
      <w:r>
        <w:rPr>
          <w:rFonts w:cs="Times New Roman"/>
          <w:b w:val="1"/>
          <w:bCs w:val="1"/>
          <w:sz w:val="24"/>
          <w:szCs w:val="24"/>
        </w:rPr>
        <w:t>ALTA GRACIA SANCIONA CON FUERZA DE ORDENANZA</w:t>
      </w:r>
    </w:p>
    <w:p>
      <w:pPr>
        <w:pStyle w:val="P1"/>
        <w:ind w:left="680"/>
        <w:jc w:val="center"/>
        <w:rPr>
          <w:rFonts w:cs="Times New Roman"/>
          <w:sz w:val="24"/>
          <w:szCs w:val="24"/>
        </w:rPr>
      </w:pPr>
    </w:p>
    <w:p>
      <w:pPr>
        <w:pStyle w:val="P1"/>
        <w:tabs>
          <w:tab w:val="left" w:pos="284" w:leader="none"/>
        </w:tabs>
        <w:ind w:hanging="709" w:left="709"/>
        <w:jc w:val="both"/>
        <w:rPr>
          <w:rFonts w:cs="Times New Roman"/>
          <w:b w:val="1"/>
          <w:bCs w:val="1"/>
          <w:sz w:val="24"/>
          <w:szCs w:val="24"/>
          <w:u w:val="single"/>
        </w:rPr>
      </w:pPr>
    </w:p>
    <w:p>
      <w:pPr>
        <w:pStyle w:val="P1"/>
        <w:tabs>
          <w:tab w:val="left" w:pos="284" w:leader="none"/>
        </w:tabs>
        <w:ind w:hanging="709" w:left="709"/>
        <w:jc w:val="both"/>
        <w:rPr>
          <w:rFonts w:cs="Times New Roman"/>
          <w:sz w:val="24"/>
          <w:szCs w:val="24"/>
        </w:rPr>
      </w:pPr>
      <w:r>
        <w:rPr>
          <w:rFonts w:cs="Times New Roman"/>
          <w:b w:val="1"/>
          <w:bCs w:val="1"/>
          <w:sz w:val="24"/>
          <w:szCs w:val="24"/>
          <w:u w:val="single"/>
        </w:rPr>
        <w:t>Art.1:</w:t>
      </w:r>
      <w:r>
        <w:rPr>
          <w:rFonts w:cs="Times New Roman"/>
          <w:b w:val="1"/>
          <w:bCs w:val="1"/>
          <w:sz w:val="24"/>
          <w:szCs w:val="24"/>
        </w:rPr>
        <w:t xml:space="preserve"> </w:t>
      </w:r>
      <w:r>
        <w:rPr>
          <w:rFonts w:cs="Times New Roman"/>
          <w:b w:val="1"/>
          <w:bCs w:val="1"/>
          <w:caps w:val="1"/>
          <w:sz w:val="24"/>
          <w:szCs w:val="24"/>
        </w:rPr>
        <w:t>ModifÍcaSE</w:t>
      </w:r>
      <w:r>
        <w:rPr>
          <w:rFonts w:cs="Times New Roman"/>
          <w:sz w:val="24"/>
          <w:szCs w:val="24"/>
        </w:rPr>
        <w:t xml:space="preserve"> el Artículo 2 de la Ordenanza N° 7327 el cual quedará redactado de la siguiente manera:</w:t>
      </w:r>
    </w:p>
    <w:p>
      <w:pPr>
        <w:pStyle w:val="P1"/>
        <w:tabs>
          <w:tab w:val="left" w:pos="284" w:leader="none"/>
        </w:tabs>
        <w:ind w:left="709"/>
        <w:jc w:val="both"/>
        <w:rPr>
          <w:rFonts w:cs="Times New Roman"/>
          <w:sz w:val="24"/>
          <w:szCs w:val="24"/>
        </w:rPr>
      </w:pPr>
      <w:r>
        <w:rPr>
          <w:rFonts w:cs="Times New Roman"/>
          <w:sz w:val="24"/>
          <w:szCs w:val="24"/>
        </w:rPr>
        <w:t>“</w:t>
      </w:r>
      <w:r>
        <w:rPr>
          <w:rFonts w:cs="Times New Roman"/>
          <w:sz w:val="24"/>
          <w:szCs w:val="24"/>
          <w:u w:val="single"/>
        </w:rPr>
        <w:t>Art.2</w:t>
      </w:r>
      <w:r>
        <w:rPr>
          <w:rFonts w:cs="Times New Roman"/>
          <w:sz w:val="24"/>
          <w:szCs w:val="24"/>
        </w:rPr>
        <w:t xml:space="preserve">: </w:t>
      </w:r>
      <w:r>
        <w:rPr>
          <w:rFonts w:cs="Times New Roman"/>
          <w:caps w:val="1"/>
          <w:sz w:val="24"/>
          <w:szCs w:val="24"/>
        </w:rPr>
        <w:t>Dispóngase</w:t>
      </w:r>
      <w:r>
        <w:rPr>
          <w:rFonts w:cs="Times New Roman"/>
          <w:sz w:val="24"/>
          <w:szCs w:val="24"/>
        </w:rPr>
        <w:t xml:space="preserve"> el corte, cerramiento y restricción del tránsito vehicular sobre calle Nieto, en el tramo comprendido por las calles Intendente Martínez y Manuel Solares.”</w:t>
      </w:r>
    </w:p>
    <w:p>
      <w:pPr>
        <w:pStyle w:val="P1"/>
        <w:tabs>
          <w:tab w:val="left" w:pos="284" w:leader="none"/>
        </w:tabs>
        <w:ind w:hanging="426" w:left="426"/>
        <w:rPr>
          <w:rFonts w:cs="Times New Roman"/>
          <w:sz w:val="24"/>
          <w:szCs w:val="24"/>
        </w:rPr>
      </w:pPr>
    </w:p>
    <w:p>
      <w:pPr>
        <w:pStyle w:val="P1"/>
        <w:tabs>
          <w:tab w:val="left" w:pos="284" w:leader="none"/>
        </w:tabs>
        <w:ind w:hanging="709" w:left="709"/>
        <w:jc w:val="both"/>
        <w:rPr>
          <w:rFonts w:cs="Times New Roman"/>
          <w:sz w:val="24"/>
          <w:szCs w:val="24"/>
        </w:rPr>
      </w:pPr>
      <w:r>
        <w:rPr>
          <w:rFonts w:cs="Times New Roman"/>
          <w:b w:val="1"/>
          <w:bCs w:val="1"/>
          <w:sz w:val="24"/>
          <w:szCs w:val="24"/>
          <w:u w:val="single"/>
        </w:rPr>
        <w:t>Art.2:</w:t>
      </w:r>
      <w:r>
        <w:rPr>
          <w:rFonts w:cs="Times New Roman"/>
          <w:sz w:val="24"/>
          <w:szCs w:val="24"/>
        </w:rPr>
        <w:t xml:space="preserve"> </w:t>
      </w:r>
      <w:r>
        <w:rPr>
          <w:rFonts w:cs="Times New Roman"/>
          <w:b w:val="1"/>
          <w:bCs w:val="1"/>
          <w:caps w:val="1"/>
          <w:sz w:val="24"/>
          <w:szCs w:val="24"/>
        </w:rPr>
        <w:t>El</w:t>
      </w:r>
      <w:r>
        <w:rPr>
          <w:rFonts w:cs="Times New Roman"/>
          <w:sz w:val="24"/>
          <w:szCs w:val="24"/>
        </w:rPr>
        <w:t xml:space="preserve"> Departamento Ejecutivo, a través del Área de Aplicación, realizará los cambios necesarios a los fines de determinar los sentidos de circulación más convenientes de las arterias afectadas, nuevos recorridos para la prestación del servicio de transporte urbano de pasajeros y la cartelería necesaria, para lo cual deberá remitirse al proyecto mencionado en el Artículo 186 de la Ordenanza N° 4518 - </w:t>
      </w:r>
      <w:r>
        <w:rPr>
          <w:sz w:val="24"/>
          <w:szCs w:val="24"/>
        </w:rPr>
        <w:t>Manual de Actuaciones en el Área de Protección de Primer Orden</w:t>
      </w:r>
      <w:r>
        <w:rPr>
          <w:rFonts w:cs="Times New Roman"/>
          <w:sz w:val="24"/>
          <w:szCs w:val="24"/>
        </w:rPr>
        <w:t xml:space="preserve">. </w:t>
      </w:r>
    </w:p>
    <w:p>
      <w:pPr>
        <w:pStyle w:val="P1"/>
        <w:jc w:val="both"/>
        <w:rPr>
          <w:rFonts w:cs="Times New Roman"/>
          <w:sz w:val="24"/>
          <w:szCs w:val="24"/>
          <w:u w:val="single"/>
        </w:rPr>
      </w:pPr>
    </w:p>
    <w:p>
      <w:pPr>
        <w:pStyle w:val="P3"/>
        <w:ind w:hanging="709" w:left="709"/>
        <w:jc w:val="both"/>
        <w:rPr>
          <w:rFonts w:ascii="Courier New" w:hAnsi="Courier New"/>
          <w:b w:val="1"/>
          <w:bCs w:val="1"/>
          <w:sz w:val="24"/>
          <w:szCs w:val="24"/>
        </w:rPr>
      </w:pPr>
      <w:r>
        <w:rPr>
          <w:rFonts w:ascii="Courier New" w:hAnsi="Courier New"/>
          <w:sz w:val="24"/>
          <w:szCs w:val="24"/>
          <w:u w:val="single"/>
        </w:rPr>
        <w:t>Art.3</w:t>
      </w:r>
      <w:r>
        <w:rPr>
          <w:rFonts w:ascii="Courier New" w:hAnsi="Courier New"/>
          <w:sz w:val="24"/>
          <w:szCs w:val="24"/>
        </w:rPr>
        <w:t>: AUTORIZASE</w:t>
      </w:r>
      <w:r>
        <w:rPr>
          <w:rFonts w:ascii="Courier New" w:hAnsi="Courier New"/>
          <w:b w:val="0"/>
          <w:bCs w:val="0"/>
          <w:sz w:val="24"/>
          <w:szCs w:val="24"/>
        </w:rPr>
        <w:t xml:space="preserve"> al Departamento Ejecutivo a realizar como prueba piloto por el término de sesenta (60) días la implementación en calle Rafael Lozada de doble sentido de circulación desde Av. Belgrano hasta calle España.</w:t>
      </w:r>
    </w:p>
    <w:p>
      <w:pPr>
        <w:pStyle w:val="P3"/>
        <w:ind w:hanging="709" w:left="709"/>
        <w:jc w:val="both"/>
        <w:rPr>
          <w:rFonts w:ascii="Courier New" w:hAnsi="Courier New"/>
          <w:b w:val="1"/>
          <w:bCs w:val="1"/>
          <w:sz w:val="24"/>
          <w:szCs w:val="24"/>
        </w:rPr>
      </w:pPr>
    </w:p>
    <w:p>
      <w:pPr>
        <w:pStyle w:val="P3"/>
        <w:ind w:hanging="709" w:left="709"/>
        <w:jc w:val="both"/>
        <w:rPr>
          <w:rFonts w:ascii="Courier New" w:hAnsi="Courier New" w:cs="Courier New"/>
          <w:b w:val="1"/>
          <w:bCs w:val="1"/>
          <w:sz w:val="24"/>
          <w:szCs w:val="24"/>
        </w:rPr>
      </w:pPr>
      <w:r>
        <w:rPr>
          <w:rFonts w:ascii="Courier New" w:hAnsi="Courier New"/>
          <w:sz w:val="24"/>
          <w:szCs w:val="24"/>
          <w:u w:val="single"/>
        </w:rPr>
        <w:t>Art.4</w:t>
      </w:r>
      <w:r>
        <w:rPr>
          <w:rFonts w:ascii="Courier New" w:hAnsi="Courier New"/>
          <w:sz w:val="24"/>
          <w:szCs w:val="24"/>
        </w:rPr>
        <w:t xml:space="preserve">: </w:t>
      </w:r>
      <w:r>
        <w:rPr>
          <w:rFonts w:ascii="Courier New" w:hAnsi="Courier New" w:cs="Courier New"/>
          <w:caps w:val="1"/>
          <w:sz w:val="24"/>
          <w:szCs w:val="24"/>
        </w:rPr>
        <w:t>El</w:t>
      </w:r>
      <w:r>
        <w:rPr>
          <w:rFonts w:ascii="Courier New" w:hAnsi="Courier New" w:cs="Courier New"/>
          <w:b w:val="0"/>
          <w:bCs w:val="0"/>
          <w:sz w:val="24"/>
          <w:szCs w:val="24"/>
        </w:rPr>
        <w:t xml:space="preserve"> Departamento Ejecutivo deberá informar en forma fehaciente al Honorable Concejo Deliberante los resultados obtenidos de la prueba piloto autorizada en el Artículo precedente, para su posterior evaluación en conjunto con el Proyecto de Ordenanza presentado por el Departamento Ejecutivo mediante el Expediente N° 528/I/07.</w:t>
      </w:r>
    </w:p>
    <w:p>
      <w:pPr>
        <w:pStyle w:val="P3"/>
        <w:ind w:hanging="709" w:left="709"/>
        <w:jc w:val="both"/>
        <w:rPr>
          <w:rFonts w:ascii="Courier New" w:hAnsi="Courier New"/>
          <w:sz w:val="24"/>
          <w:szCs w:val="24"/>
        </w:rPr>
      </w:pPr>
    </w:p>
    <w:p>
      <w:pPr>
        <w:pStyle w:val="P3"/>
        <w:ind w:hanging="709" w:left="709"/>
        <w:jc w:val="both"/>
        <w:rPr>
          <w:rFonts w:ascii="Courier New" w:hAnsi="Courier New"/>
          <w:b w:val="1"/>
          <w:bCs w:val="1"/>
          <w:sz w:val="24"/>
          <w:szCs w:val="24"/>
        </w:rPr>
      </w:pPr>
      <w:r>
        <w:rPr>
          <w:rFonts w:ascii="Courier New" w:hAnsi="Courier New"/>
          <w:sz w:val="24"/>
          <w:szCs w:val="24"/>
          <w:u w:val="single"/>
        </w:rPr>
        <w:t>Art.5</w:t>
      </w:r>
      <w:r>
        <w:rPr>
          <w:rFonts w:ascii="Courier New" w:hAnsi="Courier New"/>
          <w:sz w:val="24"/>
          <w:szCs w:val="24"/>
        </w:rPr>
        <w:t>: PROTOCOLÍCESE</w:t>
      </w:r>
      <w:r>
        <w:rPr>
          <w:rFonts w:ascii="Courier New" w:hAnsi="Courier New"/>
          <w:b w:val="0"/>
          <w:bCs w:val="0"/>
          <w:sz w:val="24"/>
          <w:szCs w:val="24"/>
        </w:rPr>
        <w:t>, comuníquese, publíquese en el Boletín Oficial de la Ciudad de Alta Gracia, transcríbase al Libro de Ordenanzas y archívese.</w:t>
      </w:r>
    </w:p>
    <w:p>
      <w:pPr>
        <w:pStyle w:val="P3"/>
        <w:jc w:val="both"/>
        <w:rPr>
          <w:rFonts w:ascii="Courier New" w:hAnsi="Courier New"/>
          <w:sz w:val="24"/>
          <w:szCs w:val="24"/>
        </w:rPr>
      </w:pPr>
    </w:p>
    <w:p>
      <w:pPr>
        <w:pStyle w:val="P3"/>
        <w:jc w:val="both"/>
        <w:rPr>
          <w:rFonts w:ascii="Courier New" w:hAnsi="Courier New"/>
          <w:sz w:val="24"/>
          <w:szCs w:val="24"/>
        </w:rPr>
      </w:pPr>
    </w:p>
    <w:p>
      <w:pPr>
        <w:pStyle w:val="P1"/>
        <w:jc w:val="both"/>
        <w:rPr>
          <w:rFonts w:cs="Times New Roman"/>
          <w:sz w:val="24"/>
          <w:szCs w:val="24"/>
          <w:u w:val="single"/>
        </w:rPr>
      </w:pPr>
      <w:r>
        <w:rPr>
          <w:b w:val="1"/>
          <w:bCs w:val="1"/>
          <w:sz w:val="24"/>
          <w:szCs w:val="24"/>
        </w:rPr>
        <w:t>DADA EN LA SALA DE SESIONES DEL HONORABLE CONCEJO DELIBERANTE A LOS TRECE DIAS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num"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680"/>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paragraph" w:styleId="P3">
    <w:name w:val="Body Text"/>
    <w:basedOn w:val="P0"/>
    <w:next w:val="P3"/>
    <w:pPr/>
    <w:rPr>
      <w:b w:val="1"/>
      <w:bCs w:val="1"/>
      <w:sz w:val="28"/>
      <w:szCs w:val="28"/>
      <w:lang w:val="es-UY"/>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2026-07-09T18:54:31Z</dcterms:created>
  <cp:lastModifiedBy>Federico Parisi</cp:lastModifiedBy>
  <cp:lastPrinted>2007-09-26T15:39:00Z</cp:lastPrinted>
  <dcterms:modified xsi:type="dcterms:W3CDTF">2026-07-09T18:54:31Z</dcterms:modified>
  <cp:revision>2</cp:revision>
  <dc:title>1¾   «        M</dc:title>
</cp:coreProperties>
</file>