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7834</w:t>
      </w:r>
    </w:p>
    <w:p>
      <w:pPr>
        <w:jc w:val="center"/>
        <w:rPr>
          <w:rFonts w:ascii="Courier New" w:hAnsi="Courier New"/>
          <w:b w:val="1"/>
          <w:bCs w:val="1"/>
          <w:u w:val="single"/>
        </w:rPr>
      </w:pPr>
    </w:p>
    <w:p>
      <w:pPr>
        <w:jc w:val="both"/>
        <w:rPr>
          <w:rFonts w:ascii="Courier New" w:hAnsi="Courier New"/>
        </w:rPr>
      </w:pPr>
    </w:p>
    <w:p>
      <w:pPr>
        <w:ind w:hanging="720" w:left="720"/>
        <w:jc w:val="both"/>
        <w:rPr>
          <w:rFonts w:ascii="Courier New" w:hAnsi="Courier New"/>
        </w:rPr>
      </w:pPr>
      <w:r>
        <w:rPr>
          <w:rFonts w:ascii="Courier New" w:hAnsi="Courier New"/>
        </w:rPr>
        <w:t>Visto: El Expediente Nº 1514/05; y</w:t>
      </w:r>
    </w:p>
    <w:p>
      <w:pPr>
        <w:jc w:val="center"/>
        <w:rPr>
          <w:rFonts w:ascii="Courier New" w:hAnsi="Courier New"/>
        </w:rPr>
      </w:pPr>
    </w:p>
    <w:p>
      <w:pPr>
        <w:jc w:val="center"/>
        <w:rPr>
          <w:rFonts w:ascii="Courier New" w:hAnsi="Courier New"/>
          <w:b w:val="1"/>
          <w:bCs w:val="1"/>
        </w:rPr>
      </w:pPr>
    </w:p>
    <w:p>
      <w:pPr>
        <w:jc w:val="center"/>
        <w:rPr>
          <w:rFonts w:ascii="Courier New" w:hAnsi="Courier New"/>
          <w:b w:val="1"/>
          <w:bCs w:val="1"/>
        </w:rPr>
      </w:pPr>
      <w:r>
        <w:rPr>
          <w:rFonts w:ascii="Courier New" w:hAnsi="Courier New"/>
          <w:b w:val="1"/>
          <w:bCs w:val="1"/>
        </w:rPr>
        <w:t>C O N S I D E R A N D O</w:t>
      </w:r>
    </w:p>
    <w:p>
      <w:pPr>
        <w:jc w:val="both"/>
        <w:rPr>
          <w:rFonts w:ascii="Courier New" w:hAnsi="Courier New"/>
        </w:rPr>
      </w:pPr>
    </w:p>
    <w:p>
      <w:pPr>
        <w:jc w:val="both"/>
        <w:rPr>
          <w:rFonts w:ascii="Courier New" w:hAnsi="Courier New"/>
        </w:rPr>
      </w:pPr>
    </w:p>
    <w:p>
      <w:pPr>
        <w:pStyle w:val="P1"/>
      </w:pPr>
      <w:r>
        <w:t>Que el mismo es iniciado por el Sr. Chanquía, Nicomedes Roque donde manifiesta en Octubre de 2005, su responsabilidad de abonar la deuda de cloacas;</w:t>
      </w:r>
    </w:p>
    <w:p>
      <w:pPr>
        <w:pStyle w:val="P1"/>
      </w:pPr>
    </w:p>
    <w:p>
      <w:pPr>
        <w:pStyle w:val="P1"/>
      </w:pPr>
      <w:r>
        <w:t>Que el mismo estudio Socioeconómico que figura en el Expediente expresa que tanto el solicitante como su Sra. esposa padecen de problemas de salud permanentes;</w:t>
      </w:r>
    </w:p>
    <w:p>
      <w:pPr>
        <w:pStyle w:val="P1"/>
      </w:pPr>
    </w:p>
    <w:p>
      <w:pPr>
        <w:pStyle w:val="P1"/>
      </w:pPr>
      <w:r>
        <w:t>Que el solicitante es jubilado;</w:t>
      </w:r>
    </w:p>
    <w:p>
      <w:pPr>
        <w:pStyle w:val="P1"/>
      </w:pPr>
    </w:p>
    <w:p>
      <w:pPr>
        <w:pStyle w:val="P1"/>
      </w:pPr>
      <w:r>
        <w:t>Que según el informe de Área Catastro a Fs. 11, el Sr. Chanquía es titular de vivienda única;</w:t>
      </w:r>
    </w:p>
    <w:p>
      <w:pPr>
        <w:pStyle w:val="P1"/>
      </w:pPr>
    </w:p>
    <w:p>
      <w:pPr>
        <w:pStyle w:val="P1"/>
      </w:pPr>
      <w:r>
        <w:t>Que el solicitante se presentó en varias oportunidades a dialogar con los miembros de la Comisión de Hacienda;</w:t>
      </w:r>
    </w:p>
    <w:p>
      <w:pPr>
        <w:pStyle w:val="P1"/>
      </w:pPr>
    </w:p>
    <w:p>
      <w:pPr>
        <w:pStyle w:val="P1"/>
      </w:pPr>
      <w:r>
        <w:t xml:space="preserve">Que de esos encuentros surgió como conclusión que el Sr. Chanquía podía pagar una cuota accesible a través de un nuevo plan de pago;  </w:t>
      </w:r>
    </w:p>
    <w:p>
      <w:pPr>
        <w:ind w:left="720"/>
        <w:jc w:val="both"/>
        <w:rPr>
          <w:rFonts w:ascii="Courier New" w:hAnsi="Courier New"/>
        </w:rPr>
      </w:pPr>
    </w:p>
    <w:p>
      <w:pPr>
        <w:pStyle w:val="P2"/>
        <w:ind w:hanging="1"/>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20 de Septiembre de 2007.</w:t>
      </w:r>
    </w:p>
    <w:p>
      <w:pPr>
        <w:pStyle w:val="P2"/>
        <w:ind w:hanging="1"/>
        <w:rPr>
          <w:rFonts w:ascii="Courier New" w:hAnsi="Courier New"/>
        </w:rPr>
      </w:pPr>
    </w:p>
    <w:p>
      <w:pPr>
        <w:pStyle w:val="P2"/>
        <w:ind w:hanging="1"/>
        <w:rPr>
          <w:rFonts w:ascii="Courier New" w:hAnsi="Courier New"/>
        </w:rPr>
      </w:pPr>
    </w:p>
    <w:p>
      <w:pPr>
        <w:jc w:val="center"/>
        <w:rPr>
          <w:rFonts w:ascii="Courier New" w:hAnsi="Courier New"/>
          <w:b w:val="1"/>
          <w:bCs w:val="1"/>
        </w:rPr>
      </w:pPr>
      <w:r>
        <w:rPr>
          <w:rFonts w:ascii="Courier New" w:hAnsi="Courier New"/>
          <w:b w:val="1"/>
          <w:bCs w:val="1"/>
        </w:rPr>
        <w:t xml:space="preserve">   EL HONORABLE CONCEJO DELIBERANTE DE LA CIUDAD DE </w:t>
      </w:r>
    </w:p>
    <w:p>
      <w:pPr>
        <w:jc w:val="center"/>
        <w:rPr>
          <w:rFonts w:ascii="Courier New" w:hAnsi="Courier New"/>
          <w:b w:val="1"/>
          <w:bCs w:val="1"/>
        </w:rPr>
      </w:pPr>
    </w:p>
    <w:p>
      <w:pPr>
        <w:jc w:val="center"/>
        <w:rPr>
          <w:rFonts w:ascii="Courier New" w:hAnsi="Courier New"/>
          <w:b w:val="1"/>
          <w:bCs w:val="1"/>
        </w:rPr>
      </w:pPr>
    </w:p>
    <w:p>
      <w:pPr>
        <w:jc w:val="center"/>
        <w:rPr>
          <w:rFonts w:ascii="Courier New" w:hAnsi="Courier New"/>
          <w:b w:val="1"/>
          <w:bCs w:val="1"/>
        </w:rPr>
      </w:pPr>
      <w:r>
        <w:rPr>
          <w:rFonts w:ascii="Courier New" w:hAnsi="Courier New"/>
          <w:b w:val="1"/>
          <w:bCs w:val="1"/>
        </w:rPr>
        <w:t xml:space="preserve">   ALTA GRACIA SANCIONA CON FUERZA DE ORDENANZA</w:t>
      </w:r>
    </w:p>
    <w:p>
      <w:pPr>
        <w:ind w:hanging="720" w:left="720"/>
        <w:jc w:val="both"/>
        <w:rPr>
          <w:rFonts w:ascii="Courier New" w:hAnsi="Courier New"/>
          <w:b w:val="1"/>
          <w:bCs w:val="1"/>
          <w:u w:val="single"/>
        </w:rPr>
      </w:pPr>
    </w:p>
    <w:p>
      <w:pPr>
        <w:ind w:hanging="709" w:left="709"/>
        <w:jc w:val="both"/>
        <w:rPr>
          <w:rFonts w:ascii="Courier New" w:hAnsi="Courier New"/>
          <w:b w:val="1"/>
          <w:bCs w:val="1"/>
          <w:u w:val="single"/>
        </w:rPr>
      </w:pPr>
    </w:p>
    <w:p>
      <w:pPr>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un Plan de Pagos con cuotas mensuales que no superen los quince pesos ($15.-) por la deuda a Valores Históricos por obra de cloacas, que registra el Sr. Chanquía, Nicomedes Roque, L.E. Nº 6.422.128.</w:t>
      </w:r>
    </w:p>
    <w:p>
      <w:pPr>
        <w:ind w:hanging="540" w:left="540"/>
        <w:jc w:val="right"/>
        <w:rPr>
          <w:rFonts w:ascii="Courier New" w:hAnsi="Courier New"/>
          <w:lang w:val="es-AR"/>
        </w:rPr>
      </w:pPr>
      <w:r>
        <w:rPr>
          <w:rFonts w:ascii="Courier New" w:hAnsi="Courier New"/>
          <w:lang w:val="es-AR"/>
        </w:rPr>
        <w:t>...///</w:t>
      </w:r>
    </w:p>
    <w:p>
      <w:pPr>
        <w:ind w:hanging="540" w:left="540"/>
        <w:jc w:val="both"/>
        <w:rPr>
          <w:rFonts w:ascii="Courier New" w:hAnsi="Courier New"/>
          <w:b w:val="1"/>
          <w:bCs w:val="1"/>
          <w:u w:val="single"/>
          <w:lang w:val="es-AR"/>
        </w:rPr>
      </w:pPr>
    </w:p>
    <w:p>
      <w:pPr>
        <w:ind w:hanging="540" w:left="540"/>
        <w:jc w:val="both"/>
        <w:rPr>
          <w:rFonts w:ascii="Courier New" w:hAnsi="Courier New"/>
          <w:b w:val="1"/>
          <w:bCs w:val="1"/>
          <w:u w:val="single"/>
          <w:lang w:val="es-AR"/>
        </w:rPr>
      </w:pPr>
    </w:p>
    <w:p>
      <w:pPr>
        <w:ind w:hanging="540" w:left="540"/>
        <w:jc w:val="both"/>
        <w:rPr>
          <w:rFonts w:ascii="Courier New" w:hAnsi="Courier New"/>
          <w:b w:val="1"/>
          <w:bCs w:val="1"/>
          <w:u w:val="single"/>
          <w:lang w:val="es-AR"/>
        </w:rPr>
      </w:pPr>
    </w:p>
    <w:p>
      <w:pPr>
        <w:ind w:hanging="540" w:left="540"/>
        <w:jc w:val="both"/>
        <w:rPr>
          <w:rFonts w:ascii="Courier New" w:hAnsi="Courier New"/>
          <w:b w:val="1"/>
          <w:bCs w:val="1"/>
          <w:u w:val="single"/>
          <w:lang w:val="es-AR"/>
        </w:rPr>
      </w:pPr>
    </w:p>
    <w:p>
      <w:pPr>
        <w:ind w:hanging="540" w:left="540"/>
        <w:jc w:val="both"/>
        <w:rPr>
          <w:rFonts w:ascii="Courier New" w:hAnsi="Courier New"/>
          <w:lang w:val="es-AR"/>
        </w:rPr>
      </w:pPr>
      <w:r>
        <w:rPr>
          <w:rFonts w:ascii="Courier New" w:hAnsi="Courier New"/>
          <w:lang w:val="es-AR"/>
        </w:rPr>
        <w:t>...///2.-</w:t>
      </w:r>
    </w:p>
    <w:p>
      <w:pPr>
        <w:ind w:hanging="540" w:left="540"/>
        <w:jc w:val="both"/>
        <w:rPr>
          <w:rFonts w:ascii="Courier New" w:hAnsi="Courier New"/>
          <w:b w:val="1"/>
          <w:bCs w:val="1"/>
          <w:u w:val="single"/>
          <w:lang w:val="es-AR"/>
        </w:rPr>
      </w:pPr>
    </w:p>
    <w:p>
      <w:pPr>
        <w:ind w:hanging="540" w:left="540"/>
        <w:jc w:val="both"/>
        <w:rPr>
          <w:rFonts w:ascii="Courier New" w:hAnsi="Courier New"/>
        </w:rPr>
      </w:pPr>
      <w:r>
        <w:rPr>
          <w:rFonts w:ascii="Courier New" w:hAnsi="Courier New"/>
          <w:b w:val="1"/>
          <w:bCs w:val="1"/>
          <w:u w:val="single"/>
          <w:lang w:val="es-AR"/>
        </w:rPr>
        <w:t>Art.2</w:t>
      </w:r>
      <w:r>
        <w:rPr>
          <w:rFonts w:ascii="Courier New" w:hAnsi="Courier New"/>
          <w:b w:val="1"/>
          <w:bCs w:val="1"/>
          <w:lang w:val="es-AR"/>
        </w:rPr>
        <w:t>:</w:t>
      </w:r>
      <w:r>
        <w:rPr>
          <w:rFonts w:ascii="Courier New" w:hAnsi="Courier New"/>
        </w:rPr>
        <w:t xml:space="preserve"> </w:t>
      </w:r>
      <w:r>
        <w:rPr>
          <w:rFonts w:ascii="Courier New" w:hAnsi="Courier New"/>
          <w:b w:val="1"/>
          <w:bCs w:val="1"/>
        </w:rPr>
        <w:t xml:space="preserve">CADÚQUESE </w:t>
      </w:r>
      <w:r>
        <w:rPr>
          <w:rFonts w:ascii="Courier New" w:hAnsi="Courier New"/>
        </w:rPr>
        <w:t>automáticamente el beneficio otorgado en caso de registrarse cuotas impagas del Plan de Pagos otorgado o de la Tasa actual de dicha Identificación.</w:t>
      </w:r>
    </w:p>
    <w:p>
      <w:pPr>
        <w:ind w:hanging="540" w:left="540"/>
        <w:jc w:val="both"/>
        <w:rPr>
          <w:rFonts w:ascii="Courier New" w:hAnsi="Courier New"/>
          <w:b w:val="1"/>
          <w:bCs w:val="1"/>
          <w:u w:val="single"/>
        </w:rPr>
      </w:pPr>
    </w:p>
    <w:p>
      <w:pPr>
        <w:ind w:hanging="540" w:left="540"/>
        <w:jc w:val="both"/>
        <w:rPr>
          <w:rFonts w:ascii="Courier New" w:hAnsi="Courier New"/>
        </w:rPr>
      </w:pPr>
      <w:r>
        <w:rPr>
          <w:rFonts w:ascii="Courier New" w:hAnsi="Courier New"/>
          <w:b w:val="1"/>
          <w:bCs w:val="1"/>
          <w:u w:val="single"/>
          <w:lang w:val="es-AR"/>
        </w:rPr>
        <w:t>Art.3</w:t>
      </w:r>
      <w:r>
        <w:rPr>
          <w:rFonts w:ascii="Courier New" w:hAnsi="Courier New"/>
          <w:b w:val="1"/>
          <w:bCs w:val="1"/>
          <w:lang w:val="es-AR"/>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jc w:val="both"/>
        <w:rPr>
          <w:rFonts w:ascii="Courier New" w:hAnsi="Courier New"/>
          <w:b w:val="1"/>
          <w:bCs w:val="1"/>
        </w:rPr>
      </w:pPr>
    </w:p>
    <w:p>
      <w:pPr>
        <w:jc w:val="both"/>
        <w:rPr>
          <w:rFonts w:ascii="Courier New" w:hAnsi="Courier New"/>
          <w:b w:val="1"/>
          <w:bCs w:val="1"/>
        </w:rPr>
      </w:pPr>
    </w:p>
    <w:p>
      <w:pPr>
        <w:jc w:val="both"/>
        <w:rPr>
          <w:rFonts w:ascii="Courier New" w:hAnsi="Courier New"/>
          <w:b w:val="1"/>
          <w:bCs w:val="1"/>
        </w:rPr>
      </w:pPr>
      <w:r>
        <w:rPr>
          <w:rFonts w:ascii="Courier New" w:hAnsi="Courier New"/>
          <w:b w:val="1"/>
          <w:bCs w:val="1"/>
        </w:rPr>
        <w:t>DADA EN LA SALA DE SESIONES DEL HONORABLE CONCEJO DELIBERANTE A LOS VEINTE DÍAS DEL MES DE SEPTIEMBRE DEL AÑO DOS MIL SIETE.</w:t>
      </w: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Body Text Indent"/>
    <w:basedOn w:val="P0"/>
    <w:next w:val="P1"/>
    <w:pPr>
      <w:ind w:left="720"/>
      <w:jc w:val="both"/>
    </w:pPr>
    <w:rPr>
      <w:rFonts w:ascii="Courier New" w:hAnsi="Courier New" w:cs="Courier New"/>
    </w:rPr>
  </w:style>
  <w:style w:type="paragraph" w:styleId="P2">
    <w:name w:val="Body Text Indent 2"/>
    <w:basedOn w:val="P0"/>
    <w:next w:val="P2"/>
    <w:pPr>
      <w:ind w:left="709"/>
      <w:jc w:val="both"/>
    </w:pPr>
    <w:rPr>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The houze!</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alvarez</dc:creator>
  <dcterms:created xsi:type="dcterms:W3CDTF">2026-07-09T18:53:52Z</dcterms:created>
  <cp:lastModifiedBy>Federico Parisi</cp:lastModifiedBy>
  <cp:lastPrinted>2007-10-17T17:21:00Z</cp:lastPrinted>
  <dcterms:modified xsi:type="dcterms:W3CDTF">2026-07-09T18:53:52Z</dcterms:modified>
  <cp:revision>2</cp:revision>
  <dc:title>Visto: Los artículos 81; 82 y 101 Inc</dc:title>
</cp:coreProperties>
</file>