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sz w:val="24"/>
          <w:szCs w:val="24"/>
          <w:lang w:val="es-AR"/>
        </w:rPr>
      </w:pPr>
      <w:r>
        <w:rPr>
          <w:b w:val="1"/>
          <w:bCs w:val="1"/>
          <w:sz w:val="24"/>
          <w:szCs w:val="24"/>
          <w:u w:val="single"/>
          <w:lang w:val="es-AR"/>
        </w:rPr>
        <w:t>ORDENANZA N° 7836</w:t>
      </w:r>
    </w:p>
    <w:p>
      <w:pPr>
        <w:pStyle w:val="P2"/>
        <w:jc w:val="both"/>
        <w:rPr>
          <w:sz w:val="24"/>
          <w:szCs w:val="24"/>
          <w:lang w:val="es-AR"/>
        </w:rPr>
      </w:pPr>
    </w:p>
    <w:p>
      <w:pPr>
        <w:pStyle w:val="P2"/>
        <w:ind w:hanging="709" w:left="709"/>
        <w:jc w:val="both"/>
        <w:rPr>
          <w:sz w:val="24"/>
          <w:szCs w:val="24"/>
          <w:lang w:val="es-AR"/>
        </w:rPr>
      </w:pPr>
      <w:r>
        <w:rPr>
          <w:sz w:val="24"/>
          <w:szCs w:val="24"/>
          <w:lang w:val="es-AR"/>
        </w:rPr>
        <w:t xml:space="preserve">Visto: El Expediente Nº 276/I/07, iniciado por el Honorable Concejo Deliberante, el cual contiene una nota de la Sra. Irma Dominga Correa de Rojas, solicitando la regularización del lote en el cual han edificado su vivienda;  y</w:t>
      </w:r>
    </w:p>
    <w:p>
      <w:pPr>
        <w:pStyle w:val="P2"/>
        <w:ind w:left="3540"/>
        <w:rPr>
          <w:b w:val="1"/>
          <w:bCs w:val="1"/>
          <w:sz w:val="24"/>
          <w:szCs w:val="24"/>
          <w:lang w:val="es-AR"/>
        </w:rPr>
      </w:pPr>
    </w:p>
    <w:p>
      <w:pPr>
        <w:pStyle w:val="P2"/>
        <w:ind w:left="3540"/>
        <w:rPr>
          <w:b w:val="1"/>
          <w:bCs w:val="1"/>
          <w:sz w:val="24"/>
          <w:szCs w:val="24"/>
          <w:lang w:val="es-AR"/>
        </w:rPr>
      </w:pPr>
    </w:p>
    <w:p>
      <w:pPr>
        <w:pStyle w:val="P2"/>
        <w:jc w:val="center"/>
        <w:rPr>
          <w:b w:val="1"/>
          <w:bCs w:val="1"/>
          <w:sz w:val="24"/>
          <w:szCs w:val="24"/>
          <w:lang w:val="es-AR"/>
        </w:rPr>
      </w:pPr>
      <w:r>
        <w:rPr>
          <w:b w:val="1"/>
          <w:bCs w:val="1"/>
          <w:sz w:val="24"/>
          <w:szCs w:val="24"/>
          <w:lang w:val="es-AR"/>
        </w:rPr>
        <w:t>C O N S I D E R A N D O</w:t>
      </w:r>
    </w:p>
    <w:p>
      <w:pPr>
        <w:pStyle w:val="P2"/>
        <w:rPr>
          <w:b w:val="1"/>
          <w:bCs w:val="1"/>
          <w:sz w:val="24"/>
          <w:szCs w:val="24"/>
          <w:lang w:val="es-AR"/>
        </w:rPr>
      </w:pPr>
    </w:p>
    <w:p>
      <w:pPr>
        <w:pStyle w:val="P2"/>
        <w:rPr>
          <w:b w:val="1"/>
          <w:bCs w:val="1"/>
          <w:sz w:val="24"/>
          <w:szCs w:val="24"/>
          <w:lang w:val="es-AR"/>
        </w:rPr>
      </w:pPr>
    </w:p>
    <w:p>
      <w:pPr>
        <w:pStyle w:val="P3"/>
        <w:rPr>
          <w:rFonts w:ascii="Courier New" w:hAnsi="Courier New"/>
        </w:rPr>
      </w:pPr>
      <w:r>
        <w:rPr>
          <w:rFonts w:ascii="Courier New" w:hAnsi="Courier New"/>
        </w:rPr>
        <w:t>Que la Sra. de Rojas reúne los requisitos para ser beneficiaria, según consta en el informe socioeconómico obrante a Fs. 13 suscripto por la Lic. Fabiola E. Vrech, M.P 2084, del comprobante a Fs. 12;</w:t>
      </w:r>
    </w:p>
    <w:p>
      <w:pPr>
        <w:pStyle w:val="P3"/>
        <w:rPr>
          <w:rFonts w:ascii="Courier New" w:hAnsi="Courier New"/>
        </w:rPr>
      </w:pPr>
    </w:p>
    <w:p>
      <w:pPr>
        <w:pStyle w:val="P3"/>
        <w:rPr>
          <w:rFonts w:ascii="Courier New" w:hAnsi="Courier New"/>
        </w:rPr>
      </w:pPr>
      <w:r>
        <w:rPr>
          <w:rFonts w:ascii="Courier New" w:hAnsi="Courier New"/>
        </w:rPr>
        <w:t>Que la Sra. Rojas y su grupo familiar conviven en una vivienda construida por ellos en el mencionado lote, desde hace 38 años, según consta en el informe de la Dirección de la Vivienda, obrante a Fs. 11;</w:t>
      </w:r>
    </w:p>
    <w:p>
      <w:pPr>
        <w:pStyle w:val="P3"/>
        <w:rPr>
          <w:rFonts w:ascii="Courier New" w:hAnsi="Courier New"/>
        </w:rPr>
      </w:pPr>
    </w:p>
    <w:p>
      <w:pPr>
        <w:pStyle w:val="P3"/>
        <w:rPr>
          <w:rFonts w:ascii="Courier New" w:hAnsi="Courier New"/>
        </w:rPr>
      </w:pPr>
      <w:r>
        <w:rPr>
          <w:rFonts w:ascii="Courier New" w:hAnsi="Courier New"/>
        </w:rPr>
        <w:t>Que el referido informe establece que el lote de referencia pertenece a los donados por los Sucesores del Dr. Juan Félix Cafferata y Otros al Municipio, y aceptados por Ordenanza Nº 6094;</w:t>
      </w:r>
    </w:p>
    <w:p>
      <w:pPr>
        <w:pStyle w:val="P3"/>
        <w:rPr>
          <w:rFonts w:ascii="Courier New" w:hAnsi="Courier New"/>
        </w:rPr>
      </w:pPr>
    </w:p>
    <w:p>
      <w:pPr>
        <w:pStyle w:val="P3"/>
        <w:rPr>
          <w:rFonts w:ascii="Courier New" w:hAnsi="Courier New"/>
        </w:rPr>
      </w:pPr>
      <w:r>
        <w:rPr>
          <w:rFonts w:ascii="Courier New" w:hAnsi="Courier New"/>
        </w:rPr>
        <w:t>Que la Sra. de Rojas mantiene las Tasas Municipales al día, según informes obrantes a Fs. 9 y 11;</w:t>
      </w:r>
    </w:p>
    <w:p>
      <w:pPr>
        <w:pStyle w:val="P3"/>
        <w:rPr>
          <w:rFonts w:ascii="Courier New" w:hAnsi="Courier New"/>
        </w:rPr>
      </w:pPr>
    </w:p>
    <w:p>
      <w:pPr>
        <w:pStyle w:val="P3"/>
        <w:rPr>
          <w:rFonts w:ascii="Courier New" w:hAnsi="Courier New"/>
        </w:rPr>
      </w:pPr>
      <w:r>
        <w:rPr>
          <w:rFonts w:ascii="Courier New" w:hAnsi="Courier New"/>
        </w:rPr>
        <w:t xml:space="preserve">Que ha sido intención de este Honorable Concejo Deliberante regularizar las situaciones de hecho, cuando así correspondiere, a fin de evitar ulteriores conflictos judiciales al Estado Municipal; </w:t>
      </w:r>
    </w:p>
    <w:p>
      <w:pPr>
        <w:pStyle w:val="P3"/>
        <w:rPr>
          <w:rFonts w:ascii="Courier New" w:hAnsi="Courier New"/>
        </w:rPr>
      </w:pPr>
    </w:p>
    <w:p>
      <w:pPr>
        <w:pStyle w:val="P3"/>
        <w:ind w:left="708"/>
      </w:pPr>
      <w:r>
        <w:rPr>
          <w:rFonts w:ascii="Courier New" w:hAnsi="Courier New"/>
        </w:rPr>
        <w:t>Que evaluado el contenido del Expediente mencionado por Comisión de Legislación General, se emite despacho de conformidad a las Ordenanzas vigentes, aprobado por unanimidad en Sesión Ordinaria de fecha 20 de Septiembre de 2007</w:t>
      </w:r>
      <w:r>
        <w:t>.</w:t>
      </w:r>
    </w:p>
    <w:p>
      <w:pPr>
        <w:pStyle w:val="P3"/>
        <w:ind w:left="708"/>
      </w:pPr>
    </w:p>
    <w:p>
      <w:pPr>
        <w:pStyle w:val="P3"/>
        <w:ind w:left="708"/>
      </w:pPr>
    </w:p>
    <w:p>
      <w:pPr>
        <w:pStyle w:val="P2"/>
        <w:jc w:val="center"/>
        <w:rPr>
          <w:b w:val="1"/>
          <w:bCs w:val="1"/>
          <w:sz w:val="24"/>
          <w:szCs w:val="24"/>
          <w:lang w:val="es-AR"/>
        </w:rPr>
      </w:pPr>
      <w:r>
        <w:rPr>
          <w:b w:val="1"/>
          <w:bCs w:val="1"/>
          <w:sz w:val="24"/>
          <w:szCs w:val="24"/>
          <w:lang w:val="es-AR"/>
        </w:rPr>
        <w:t>EL HONORABLE CONCEJO DELIBERANTE DE LA CIUDAD DE</w:t>
      </w: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r>
        <w:rPr>
          <w:b w:val="1"/>
          <w:bCs w:val="1"/>
          <w:sz w:val="24"/>
          <w:szCs w:val="24"/>
          <w:lang w:val="es-AR"/>
        </w:rPr>
        <w:t>ALTA GRACIA SANCIONA CON FUERZA DE ORDENANZA</w:t>
      </w:r>
    </w:p>
    <w:p>
      <w:pPr>
        <w:pStyle w:val="P3"/>
        <w:ind w:left="708"/>
        <w:jc w:val="right"/>
        <w:rPr>
          <w:rFonts w:ascii="Courier New" w:hAnsi="Courier New"/>
        </w:rPr>
      </w:pPr>
      <w:r>
        <w:rPr>
          <w:rFonts w:ascii="Courier New" w:hAnsi="Courier New"/>
        </w:rPr>
        <w:t>...///</w:t>
      </w:r>
    </w:p>
    <w:p>
      <w:pPr>
        <w:pStyle w:val="P3"/>
        <w:ind w:left="0"/>
        <w:rPr>
          <w:rFonts w:ascii="Courier New" w:hAnsi="Courier New"/>
        </w:rPr>
      </w:pP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p>
    <w:p>
      <w:pPr>
        <w:pStyle w:val="P2"/>
        <w:jc w:val="center"/>
        <w:rPr>
          <w:b w:val="1"/>
          <w:bCs w:val="1"/>
          <w:sz w:val="24"/>
          <w:szCs w:val="24"/>
          <w:lang w:val="es-AR"/>
        </w:rPr>
      </w:pPr>
    </w:p>
    <w:p>
      <w:pPr>
        <w:pStyle w:val="P2"/>
        <w:rPr>
          <w:sz w:val="24"/>
          <w:szCs w:val="24"/>
          <w:lang w:val="es-AR"/>
        </w:rPr>
      </w:pPr>
      <w:r>
        <w:rPr>
          <w:sz w:val="24"/>
          <w:szCs w:val="24"/>
          <w:lang w:val="es-AR"/>
        </w:rPr>
        <w:t>...///2.-</w:t>
      </w:r>
    </w:p>
    <w:p>
      <w:pPr>
        <w:ind w:hanging="709" w:left="709"/>
        <w:jc w:val="both"/>
        <w:rPr>
          <w:rFonts w:ascii="Courier New" w:hAnsi="Courier New"/>
          <w:b w:val="1"/>
          <w:bCs w:val="1"/>
          <w:sz w:val="24"/>
          <w:szCs w:val="24"/>
          <w:u w:val="single"/>
          <w:lang w:val="es-AR"/>
        </w:rPr>
      </w:pP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Art.1</w:t>
      </w:r>
      <w:r>
        <w:rPr>
          <w:rFonts w:ascii="Courier New" w:hAnsi="Courier New"/>
          <w:b w:val="1"/>
          <w:bCs w:val="1"/>
          <w:sz w:val="24"/>
          <w:szCs w:val="24"/>
          <w:lang w:val="es-AR"/>
        </w:rPr>
        <w:t>: OTÓRGASE</w:t>
      </w:r>
      <w:r>
        <w:rPr>
          <w:rFonts w:ascii="Courier New" w:hAnsi="Courier New"/>
          <w:sz w:val="24"/>
          <w:szCs w:val="24"/>
          <w:lang w:val="es-AR"/>
        </w:rPr>
        <w:t xml:space="preserve"> en donación el Lote 7 Mz. Ofic. 19 designación catastral Nº 03-01-318-006 de Bº Parque San Juan, a la Sra. Irma Dominga Correa Vda. de Rojas, D.N.I Nº 5.718.594.</w:t>
      </w:r>
    </w:p>
    <w:p>
      <w:pPr>
        <w:ind w:hanging="709" w:left="709"/>
        <w:jc w:val="both"/>
        <w:rPr>
          <w:rFonts w:ascii="Courier New" w:hAnsi="Courier New"/>
          <w:b w:val="1"/>
          <w:bCs w:val="1"/>
          <w:sz w:val="24"/>
          <w:szCs w:val="24"/>
          <w:u w:val="single"/>
          <w:lang w:val="es-AR"/>
        </w:rPr>
      </w:pPr>
      <w:r>
        <w:rPr>
          <w:rFonts w:ascii="Courier New" w:hAnsi="Courier New"/>
          <w:sz w:val="24"/>
          <w:szCs w:val="24"/>
          <w:lang w:val="es-AR"/>
        </w:rPr>
        <w:t xml:space="preserve">   </w:t>
      </w: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Art.2</w:t>
      </w:r>
      <w:r>
        <w:rPr>
          <w:rFonts w:ascii="Courier New" w:hAnsi="Courier New"/>
          <w:b w:val="1"/>
          <w:bCs w:val="1"/>
          <w:sz w:val="24"/>
          <w:szCs w:val="24"/>
          <w:lang w:val="es-AR"/>
        </w:rPr>
        <w:t xml:space="preserve">: La </w:t>
      </w:r>
      <w:r>
        <w:rPr>
          <w:rFonts w:ascii="Courier New" w:hAnsi="Courier New"/>
          <w:sz w:val="24"/>
          <w:szCs w:val="24"/>
          <w:lang w:val="es-AR"/>
        </w:rPr>
        <w:t>beneficiaria debe edificar en un plazo máximo de dieciocho (18) meses a partir de la promulgación de la presente Ordenanza, según el correspondiente plano aprobado por las oficinas técnicas correspondientes.</w:t>
      </w:r>
    </w:p>
    <w:p>
      <w:pPr>
        <w:pStyle w:val="P2"/>
        <w:ind w:hanging="709" w:left="709"/>
        <w:jc w:val="both"/>
        <w:rPr>
          <w:b w:val="1"/>
          <w:bCs w:val="1"/>
          <w:sz w:val="24"/>
          <w:szCs w:val="24"/>
          <w:u w:val="single"/>
          <w:lang w:val="es-AR"/>
        </w:rPr>
      </w:pPr>
    </w:p>
    <w:p>
      <w:pPr>
        <w:pStyle w:val="P2"/>
        <w:ind w:hanging="709" w:left="709"/>
        <w:jc w:val="both"/>
        <w:rPr>
          <w:sz w:val="24"/>
          <w:szCs w:val="24"/>
          <w:lang w:val="es-AR"/>
        </w:rPr>
      </w:pPr>
      <w:r>
        <w:rPr>
          <w:b w:val="1"/>
          <w:bCs w:val="1"/>
          <w:sz w:val="24"/>
          <w:szCs w:val="24"/>
          <w:u w:val="single"/>
          <w:lang w:val="es-AR"/>
        </w:rPr>
        <w:t>Art.3</w:t>
      </w:r>
      <w:r>
        <w:rPr>
          <w:b w:val="1"/>
          <w:bCs w:val="1"/>
          <w:sz w:val="24"/>
          <w:szCs w:val="24"/>
          <w:lang w:val="es-AR"/>
        </w:rPr>
        <w:t xml:space="preserve"> LA </w:t>
      </w:r>
      <w:r>
        <w:rPr>
          <w:sz w:val="24"/>
          <w:szCs w:val="24"/>
          <w:lang w:val="es-AR"/>
        </w:rPr>
        <w:t>donación dispuesta en la presente Ordenanza tiene el carácter de intransferible y caducará de pleno derecho si no se cumplimenta con lo descripto en el Artículo anterior, debiendo restituir el lote a la Municipalidad de Alta Gracia y sólo podrá solicitar prórroga para construir si tiene las tasas al día.</w:t>
      </w:r>
    </w:p>
    <w:p>
      <w:pPr>
        <w:pStyle w:val="P2"/>
        <w:ind w:hanging="709" w:left="709"/>
        <w:jc w:val="both"/>
        <w:rPr>
          <w:b w:val="1"/>
          <w:bCs w:val="1"/>
          <w:sz w:val="24"/>
          <w:szCs w:val="24"/>
          <w:u w:val="single"/>
          <w:lang w:val="es-AR"/>
        </w:rPr>
      </w:pPr>
    </w:p>
    <w:p>
      <w:pPr>
        <w:pStyle w:val="P2"/>
        <w:ind w:hanging="709" w:left="709"/>
        <w:jc w:val="both"/>
        <w:rPr>
          <w:sz w:val="24"/>
          <w:szCs w:val="24"/>
          <w:lang w:val="es-AR"/>
        </w:rPr>
      </w:pPr>
      <w:r>
        <w:rPr>
          <w:b w:val="1"/>
          <w:bCs w:val="1"/>
          <w:sz w:val="24"/>
          <w:szCs w:val="24"/>
          <w:u w:val="single"/>
          <w:lang w:val="es-AR"/>
        </w:rPr>
        <w:t>Art.4</w:t>
      </w:r>
      <w:r>
        <w:rPr>
          <w:b w:val="1"/>
          <w:bCs w:val="1"/>
          <w:sz w:val="24"/>
          <w:szCs w:val="24"/>
          <w:lang w:val="es-AR"/>
        </w:rPr>
        <w:t xml:space="preserve">: LA </w:t>
      </w:r>
      <w:r>
        <w:rPr>
          <w:sz w:val="24"/>
          <w:szCs w:val="24"/>
          <w:lang w:val="es-AR"/>
        </w:rPr>
        <w:t>presente donación es con cargo, debiendo la beneficiaria abonar en su totalidad las cargas tributarias que gravan el inmueble, las contribuciones por mejoras, desde la fecha de la donación y los gastos de transferencia de dominio. En el supuesto incumplimiento de esta obligación, la Municipalidad no se hará cargo en ningún caso de las erogaciones que deba pagar la beneficiaria de acuerdo al presente Artículo, debiendo abonar y mantener al día desde la fecha de la presente, la Tasa por Servicios a la Propiedad.</w:t>
      </w:r>
    </w:p>
    <w:p>
      <w:pPr>
        <w:pStyle w:val="P2"/>
        <w:ind w:hanging="709" w:left="709"/>
        <w:jc w:val="both"/>
        <w:rPr>
          <w:b w:val="1"/>
          <w:bCs w:val="1"/>
          <w:sz w:val="24"/>
          <w:szCs w:val="24"/>
          <w:u w:val="single"/>
          <w:lang w:val="es-AR"/>
        </w:rPr>
      </w:pPr>
    </w:p>
    <w:p>
      <w:pPr>
        <w:pStyle w:val="P2"/>
        <w:ind w:hanging="709" w:left="709"/>
        <w:jc w:val="both"/>
        <w:rPr>
          <w:sz w:val="24"/>
          <w:szCs w:val="24"/>
          <w:lang w:val="es-AR"/>
        </w:rPr>
      </w:pPr>
      <w:r>
        <w:rPr>
          <w:b w:val="1"/>
          <w:bCs w:val="1"/>
          <w:sz w:val="24"/>
          <w:szCs w:val="24"/>
          <w:u w:val="single"/>
          <w:lang w:val="es-AR"/>
        </w:rPr>
        <w:t>Art.5</w:t>
      </w:r>
      <w:r>
        <w:rPr>
          <w:b w:val="1"/>
          <w:bCs w:val="1"/>
          <w:sz w:val="24"/>
          <w:szCs w:val="24"/>
          <w:lang w:val="es-AR"/>
        </w:rPr>
        <w:t xml:space="preserve"> EL </w:t>
      </w:r>
      <w:r>
        <w:rPr>
          <w:sz w:val="24"/>
          <w:szCs w:val="24"/>
          <w:lang w:val="es-AR"/>
        </w:rPr>
        <w:t>lote donado será destinado exclusivamente a vivienda familiar de la solicitante y su grupo familiar siendo intransferible por el término de diez (10) años.</w:t>
      </w:r>
    </w:p>
    <w:p>
      <w:pPr>
        <w:pStyle w:val="P2"/>
        <w:ind w:hanging="709" w:left="709"/>
        <w:jc w:val="both"/>
        <w:rPr>
          <w:sz w:val="24"/>
          <w:szCs w:val="24"/>
          <w:lang w:val="es-AR"/>
        </w:rPr>
      </w:pPr>
    </w:p>
    <w:p>
      <w:pPr>
        <w:pStyle w:val="P2"/>
        <w:ind w:hanging="709" w:left="709"/>
        <w:jc w:val="both"/>
        <w:rPr>
          <w:sz w:val="24"/>
          <w:szCs w:val="24"/>
          <w:lang w:val="es-AR"/>
        </w:rPr>
      </w:pPr>
      <w:r>
        <w:rPr>
          <w:b w:val="1"/>
          <w:bCs w:val="1"/>
          <w:sz w:val="24"/>
          <w:szCs w:val="24"/>
          <w:u w:val="single"/>
          <w:lang w:val="es-AR"/>
        </w:rPr>
        <w:t>Art.6</w:t>
      </w:r>
      <w:r>
        <w:rPr>
          <w:b w:val="1"/>
          <w:bCs w:val="1"/>
          <w:sz w:val="24"/>
          <w:szCs w:val="24"/>
          <w:lang w:val="es-AR"/>
        </w:rPr>
        <w:t xml:space="preserve">: LA </w:t>
      </w:r>
      <w:r>
        <w:rPr>
          <w:sz w:val="24"/>
          <w:szCs w:val="24"/>
          <w:lang w:val="es-AR"/>
        </w:rPr>
        <w:t>presente Ordenanza será título hábil de posesión hasta tanto el Departamento Ejecutivo otorgue la correspondiente escritura traslativa de dominio.</w:t>
      </w:r>
    </w:p>
    <w:p>
      <w:pPr>
        <w:pStyle w:val="P2"/>
        <w:ind w:hanging="709" w:left="709"/>
        <w:jc w:val="both"/>
        <w:rPr>
          <w:sz w:val="24"/>
          <w:szCs w:val="24"/>
          <w:lang w:val="es-AR"/>
        </w:rPr>
      </w:pP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Art.7</w:t>
      </w:r>
      <w:r>
        <w:rPr>
          <w:rFonts w:ascii="Courier New" w:hAnsi="Courier New"/>
          <w:b w:val="1"/>
          <w:bCs w:val="1"/>
          <w:sz w:val="24"/>
          <w:szCs w:val="24"/>
          <w:lang w:val="es-AR"/>
        </w:rPr>
        <w:t xml:space="preserve">: AUTORÍZESE </w:t>
      </w:r>
      <w:r>
        <w:rPr>
          <w:rFonts w:ascii="Courier New" w:hAnsi="Courier New"/>
          <w:sz w:val="24"/>
          <w:szCs w:val="24"/>
          <w:lang w:val="es-AR"/>
        </w:rPr>
        <w:t xml:space="preserve">al Departamento Ejecutivo a suscribir la correspondiente escritura traslativa de dominio, la que se otorgará de acuerdo al dictamen final que a ese efecto emita el Área correspondiente, previa supervisión, constatación e informe suministrado por la </w:t>
      </w:r>
    </w:p>
    <w:p>
      <w:pPr>
        <w:pStyle w:val="P2"/>
        <w:ind w:hanging="709" w:left="709"/>
        <w:jc w:val="right"/>
        <w:rPr>
          <w:sz w:val="24"/>
          <w:szCs w:val="24"/>
          <w:lang w:val="es-AR"/>
        </w:rPr>
      </w:pPr>
      <w:r>
        <w:rPr>
          <w:sz w:val="24"/>
          <w:szCs w:val="24"/>
          <w:lang w:val="es-AR"/>
        </w:rPr>
        <w:t>...///</w:t>
      </w:r>
    </w:p>
    <w:p>
      <w:pPr>
        <w:ind w:hanging="709" w:left="709"/>
        <w:jc w:val="both"/>
        <w:rPr>
          <w:rFonts w:ascii="Courier New" w:hAnsi="Courier New"/>
          <w:sz w:val="24"/>
          <w:szCs w:val="24"/>
          <w:lang w:val="es-AR"/>
        </w:rPr>
      </w:pPr>
    </w:p>
    <w:p>
      <w:pPr>
        <w:ind w:hanging="709" w:left="709"/>
        <w:jc w:val="both"/>
        <w:rPr>
          <w:rFonts w:ascii="Courier New" w:hAnsi="Courier New"/>
          <w:sz w:val="24"/>
          <w:szCs w:val="24"/>
          <w:lang w:val="es-AR"/>
        </w:rPr>
      </w:pPr>
    </w:p>
    <w:p>
      <w:pPr>
        <w:ind w:hanging="709" w:left="709"/>
        <w:jc w:val="both"/>
        <w:rPr>
          <w:rFonts w:ascii="Courier New" w:hAnsi="Courier New"/>
          <w:sz w:val="24"/>
          <w:szCs w:val="24"/>
          <w:lang w:val="es-AR"/>
        </w:rPr>
      </w:pPr>
    </w:p>
    <w:p>
      <w:pPr>
        <w:pStyle w:val="P2"/>
        <w:ind w:hanging="709" w:left="709"/>
        <w:jc w:val="both"/>
        <w:rPr>
          <w:sz w:val="24"/>
          <w:szCs w:val="24"/>
          <w:lang w:val="es-AR"/>
        </w:rPr>
      </w:pPr>
    </w:p>
    <w:p>
      <w:pPr>
        <w:pStyle w:val="P2"/>
        <w:ind w:hanging="709" w:left="709"/>
        <w:jc w:val="both"/>
        <w:rPr>
          <w:sz w:val="24"/>
          <w:szCs w:val="24"/>
          <w:lang w:val="es-AR"/>
        </w:rPr>
      </w:pPr>
    </w:p>
    <w:p>
      <w:pPr>
        <w:pStyle w:val="P2"/>
        <w:ind w:hanging="709" w:left="709"/>
        <w:jc w:val="both"/>
        <w:rPr>
          <w:sz w:val="24"/>
          <w:szCs w:val="24"/>
          <w:lang w:val="es-AR"/>
        </w:rPr>
      </w:pPr>
    </w:p>
    <w:p>
      <w:pPr>
        <w:pStyle w:val="P2"/>
        <w:ind w:hanging="709" w:left="709"/>
        <w:jc w:val="both"/>
        <w:rPr>
          <w:sz w:val="24"/>
          <w:szCs w:val="24"/>
          <w:lang w:val="es-AR"/>
        </w:rPr>
      </w:pPr>
      <w:r>
        <w:rPr>
          <w:sz w:val="24"/>
          <w:szCs w:val="24"/>
          <w:lang w:val="es-AR"/>
        </w:rPr>
        <w:t>...///3.-</w:t>
      </w:r>
    </w:p>
    <w:p>
      <w:pPr>
        <w:ind w:left="709"/>
        <w:jc w:val="both"/>
        <w:rPr>
          <w:rFonts w:ascii="Courier New" w:hAnsi="Courier New"/>
          <w:sz w:val="24"/>
          <w:szCs w:val="24"/>
          <w:lang w:val="es-AR"/>
        </w:rPr>
      </w:pPr>
      <w:r>
        <w:rPr>
          <w:rFonts w:ascii="Courier New" w:hAnsi="Courier New"/>
          <w:sz w:val="24"/>
          <w:szCs w:val="24"/>
          <w:lang w:val="es-AR"/>
        </w:rPr>
        <w:t>Dirección de la Vivienda y previa verificación de que posee las tasas al día, siendo los gastos a cargo de la beneficiaria.</w:t>
      </w:r>
    </w:p>
    <w:p>
      <w:pPr>
        <w:ind w:hanging="709" w:left="709"/>
        <w:jc w:val="both"/>
        <w:rPr>
          <w:rFonts w:ascii="Courier New" w:hAnsi="Courier New"/>
          <w:b w:val="1"/>
          <w:bCs w:val="1"/>
          <w:sz w:val="24"/>
          <w:szCs w:val="24"/>
          <w:u w:val="single"/>
          <w:lang w:val="es-AR"/>
        </w:rPr>
      </w:pPr>
    </w:p>
    <w:p>
      <w:pPr>
        <w:ind w:hanging="709" w:left="709"/>
        <w:jc w:val="both"/>
        <w:rPr>
          <w:rFonts w:ascii="Courier New" w:hAnsi="Courier New"/>
          <w:sz w:val="24"/>
          <w:szCs w:val="24"/>
          <w:lang w:val="es-AR"/>
        </w:rPr>
      </w:pPr>
      <w:r>
        <w:rPr>
          <w:rFonts w:ascii="Courier New" w:hAnsi="Courier New"/>
          <w:b w:val="1"/>
          <w:bCs w:val="1"/>
          <w:sz w:val="24"/>
          <w:szCs w:val="24"/>
          <w:u w:val="single"/>
          <w:lang w:val="es-AR"/>
        </w:rPr>
        <w:t>Art.8</w:t>
      </w:r>
      <w:r>
        <w:rPr>
          <w:rFonts w:ascii="Courier New" w:hAnsi="Courier New"/>
          <w:b w:val="1"/>
          <w:bCs w:val="1"/>
          <w:sz w:val="24"/>
          <w:szCs w:val="24"/>
          <w:lang w:val="es-AR"/>
        </w:rPr>
        <w:t xml:space="preserve">: EN  </w:t>
      </w:r>
      <w:r>
        <w:rPr>
          <w:rFonts w:ascii="Courier New" w:hAnsi="Courier New"/>
          <w:sz w:val="24"/>
          <w:szCs w:val="24"/>
          <w:lang w:val="es-AR"/>
        </w:rPr>
        <w:t xml:space="preserve">todos  los casos el donatario debe, a través del área pertinente, dejar expresa constancia de la conformidad del acto y de la renuncia a posteriores reclamos judiciales al Municipio.</w:t>
      </w:r>
    </w:p>
    <w:p>
      <w:pPr>
        <w:pStyle w:val="P2"/>
        <w:ind w:hanging="709" w:left="709"/>
        <w:jc w:val="both"/>
        <w:rPr>
          <w:b w:val="1"/>
          <w:bCs w:val="1"/>
          <w:sz w:val="24"/>
          <w:szCs w:val="24"/>
          <w:u w:val="single"/>
          <w:lang w:val="es-AR"/>
        </w:rPr>
      </w:pPr>
    </w:p>
    <w:p>
      <w:pPr>
        <w:pStyle w:val="P2"/>
        <w:ind w:hanging="709" w:left="709"/>
        <w:jc w:val="both"/>
        <w:rPr>
          <w:sz w:val="24"/>
          <w:szCs w:val="24"/>
          <w:lang w:val="es-AR"/>
        </w:rPr>
      </w:pPr>
      <w:r>
        <w:rPr>
          <w:b w:val="1"/>
          <w:bCs w:val="1"/>
          <w:sz w:val="24"/>
          <w:szCs w:val="24"/>
          <w:u w:val="single"/>
          <w:lang w:val="es-AR"/>
        </w:rPr>
        <w:t>Art.9</w:t>
      </w:r>
      <w:r>
        <w:rPr>
          <w:b w:val="1"/>
          <w:bCs w:val="1"/>
          <w:sz w:val="24"/>
          <w:szCs w:val="24"/>
          <w:lang w:val="es-AR"/>
        </w:rPr>
        <w:t>: PROTOCOLÍCESE</w:t>
      </w:r>
      <w:r>
        <w:rPr>
          <w:sz w:val="24"/>
          <w:szCs w:val="24"/>
          <w:lang w:val="es-AR"/>
        </w:rPr>
        <w:t>, comuníquese, publíquese en el Boletín Oficial de la Ciudad de Alta Gracia, transcríbase al Libro de Ordenanzas y archívese.</w:t>
      </w:r>
    </w:p>
    <w:p>
      <w:pPr>
        <w:pStyle w:val="P2"/>
        <w:jc w:val="both"/>
        <w:rPr>
          <w:sz w:val="24"/>
          <w:szCs w:val="24"/>
          <w:lang w:val="es-AR"/>
        </w:rPr>
      </w:pPr>
    </w:p>
    <w:p>
      <w:pPr>
        <w:pStyle w:val="P2"/>
        <w:jc w:val="both"/>
        <w:rPr>
          <w:b w:val="1"/>
          <w:bCs w:val="1"/>
          <w:sz w:val="24"/>
          <w:szCs w:val="24"/>
          <w:lang w:val="es-AR"/>
        </w:rPr>
      </w:pPr>
    </w:p>
    <w:p>
      <w:pPr>
        <w:jc w:val="both"/>
        <w:rPr>
          <w:rFonts w:ascii="Courier New" w:hAnsi="Courier New"/>
          <w:b w:val="1"/>
          <w:bCs w:val="1"/>
          <w:sz w:val="24"/>
          <w:szCs w:val="24"/>
          <w:lang w:val="es-AR"/>
        </w:rPr>
      </w:pPr>
      <w:r>
        <w:rPr>
          <w:rFonts w:ascii="Courier New" w:hAnsi="Courier New"/>
          <w:b w:val="1"/>
          <w:bCs w:val="1"/>
          <w:sz w:val="24"/>
          <w:szCs w:val="24"/>
          <w:lang w:val="es-AR"/>
        </w:rPr>
        <w:t>DADA EN LA SALA DE SESIONES DEL HONORABLE CONCEJO DELIBERANTE A LOS VEINTE DÍAS DEL MES DE SEPTIEMBRE DEL AÑO DOS MIL SIETE.</w:t>
      </w:r>
    </w:p>
    <w:p>
      <w:pPr>
        <w:pStyle w:val="P2"/>
        <w:jc w:val="both"/>
        <w:rPr>
          <w:b w:val="1"/>
          <w:bCs w:val="1"/>
          <w:sz w:val="24"/>
          <w:szCs w:val="24"/>
          <w:lang w:val="es-AR"/>
        </w:rPr>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46654931"/>
    <w:multiLevelType w:val="multilevel"/>
    <w:lvl w:ilvl="0">
      <w:start w:val="1"/>
      <w:numFmt w:val="lowerLetter"/>
      <w:suff w:val="tab"/>
      <w:lvlText w:val="%1)"/>
      <w:lvlJc w:val="left"/>
      <w:pPr>
        <w:ind w:hanging="480" w:left="1188"/>
        <w:tabs>
          <w:tab w:val="num" w:pos="1188"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rFonts w:ascii="Courier New" w:hAnsi="Courier New"/>
      <w:sz w:val="24"/>
      <w:szCs w:val="24"/>
      <w:lang/>
    </w:rPr>
  </w:style>
  <w:style w:type="paragraph" w:styleId="P2">
    <w:name w:val="Plain Text"/>
    <w:basedOn w:val="P0"/>
    <w:next w:val="P2"/>
    <w:pPr/>
    <w:rPr>
      <w:rFonts w:ascii="Courier New" w:hAnsi="Courier New"/>
    </w:rPr>
  </w:style>
  <w:style w:type="paragraph" w:styleId="P3">
    <w:name w:val="Body Text Indent 2"/>
    <w:basedOn w:val="P0"/>
    <w:next w:val="P3"/>
    <w:pPr>
      <w:ind w:left="709"/>
      <w:jc w:val="both"/>
    </w:pPr>
    <w:rPr>
      <w:sz w:val="24"/>
      <w:szCs w:val="24"/>
      <w:lang w:val="es-AR"/>
    </w:rPr>
  </w:style>
  <w:style w:type="paragraph" w:styleId="P4">
    <w:name w:val="Body Text Indent"/>
    <w:basedOn w:val="P0"/>
    <w:next w:val="P4"/>
    <w:pPr>
      <w:ind w:left="709"/>
    </w:pPr>
    <w:rPr>
      <w:rFonts w:ascii="Courier New" w:hAnsi="Courier New"/>
      <w:sz w:val="24"/>
      <w:szCs w:val="24"/>
      <w:lang w:val="es-UY"/>
    </w:rPr>
  </w:style>
  <w:style w:type="paragraph" w:styleId="P5">
    <w:name w:val="Body Text"/>
    <w:basedOn w:val="P0"/>
    <w:next w:val="P5"/>
    <w:pPr>
      <w:jc w:val="both"/>
    </w:pPr>
    <w:rPr>
      <w:b w:val="1"/>
      <w:bCs w:val="1"/>
      <w:color w:val="000000"/>
      <w:sz w:val="24"/>
      <w:szCs w:val="24"/>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~wd07.tmp</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2026-07-09T18:53:32Z</dcterms:created>
  <cp:lastModifiedBy>Federico Parisi</cp:lastModifiedBy>
  <cp:lastPrinted>2007-10-03T23:40:00Z</cp:lastPrinted>
  <dcterms:modified xsi:type="dcterms:W3CDTF">2026-07-09T18:53:32Z</dcterms:modified>
  <cp:revision>2</cp:revision>
  <dc:title>1¾   «        M</dc:title>
</cp:coreProperties>
</file>