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7838</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1122/06, iniciado por el Sr. Bustos, Humberto;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según el estudio Socioeconómico a Fs. 9 y 9 vuelta, el solicitante vive con su esposa, 4 hijos y nietos, ambos cónyuges padecen problemas de salud, como también, una hija de 29 años que es discapacitada;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también se aclara que el solicitante es jubilado de la empresa Renault con un ingreso de setecientos treinta y cuatro pesos ($734.-) aproximadamente debido a los descuentos por servicios especiales que recibe;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según Dirección de Ingresos Públicos a Fs. 11, 14, 15, 16 y 17, el solicitante presenta deuda por asfalto, cementerio, casa y automotor;</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esposa del solicitante se presentó a dialogar con los miembros de la Comisión de Hacienda manifestando que el Sr. Bustos ha tenido un ataque cardiovascular, por lo que, emocionalmente y familiarmente, se han producido cambios importantes en esa familia;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Sra. Contreras manifiesta reconocer la deuda que posee y solicita plan de pago especiales por cada una de ellas y otro beneficio, que le faciliten regularizar su situación;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según Área Catastro a Fs. 11 vuelta, el Sr. Bustos y la Sra. Contreras se registran como titular del inmueble;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27 de septiembre de 2007.</w:t>
      </w:r>
    </w:p>
    <w:p>
      <w:pPr>
        <w:pStyle w:val="P3"/>
        <w:ind w:left="709"/>
        <w:jc w:val="right"/>
        <w:rPr>
          <w:rFonts w:ascii="Courier New" w:hAnsi="Courier New"/>
        </w:rPr>
      </w:pPr>
      <w:r>
        <w:rPr>
          <w:rFonts w:ascii="Courier New" w:hAnsi="Courier New"/>
        </w:rPr>
        <w:t>...///</w:t>
      </w: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otorgar, para las deudas que se detallan a continuación, los siguientes planes de pago: </w:t>
      </w:r>
    </w:p>
    <w:p>
      <w:pPr>
        <w:pStyle w:val="P3"/>
        <w:numPr>
          <w:ilvl w:val="0"/>
          <w:numId w:val="5"/>
        </w:numPr>
        <w:jc w:val="both"/>
        <w:rPr>
          <w:rFonts w:ascii="Courier New" w:hAnsi="Courier New"/>
        </w:rPr>
      </w:pPr>
      <w:r>
        <w:rPr>
          <w:rFonts w:ascii="Courier New" w:hAnsi="Courier New"/>
        </w:rPr>
        <w:t>Deuda por Contribución por Mejoras por Pavimento: Realizar un nuevo Plan de Pagos por el total de la deuda a Valores Históricos con cuotas mensuales de quince pesos ($15.-) del Contribuyente Nº 2290.</w:t>
      </w:r>
    </w:p>
    <w:p>
      <w:pPr>
        <w:pStyle w:val="P3"/>
        <w:numPr>
          <w:ilvl w:val="0"/>
          <w:numId w:val="5"/>
        </w:numPr>
        <w:jc w:val="both"/>
        <w:rPr>
          <w:rFonts w:ascii="Courier New" w:hAnsi="Courier New"/>
        </w:rPr>
      </w:pPr>
      <w:r>
        <w:rPr>
          <w:rFonts w:ascii="Courier New" w:hAnsi="Courier New"/>
        </w:rPr>
        <w:t>Deuda Contribución que incide sobre los Automotores: Realizar un Plan de Pagos por la deuda que posee el Contribuyente Nº 20289, hasta la promulgación de la presente Ordenanza con cuotas mensuales de diez pesos ($10.-).</w:t>
      </w:r>
    </w:p>
    <w:p>
      <w:pPr>
        <w:pStyle w:val="P3"/>
        <w:numPr>
          <w:ilvl w:val="0"/>
          <w:numId w:val="5"/>
        </w:numPr>
        <w:jc w:val="both"/>
        <w:rPr>
          <w:rFonts w:ascii="Courier New" w:hAnsi="Courier New"/>
        </w:rPr>
      </w:pPr>
      <w:r>
        <w:rPr>
          <w:rFonts w:ascii="Courier New" w:hAnsi="Courier New"/>
        </w:rPr>
        <w:t xml:space="preserve">Deuda por Tasa por Servicio de Administración y Mantenimiento de los Cementerios: Realizar un Plan de Pagos por cada una de las deudas que registran  a Valores Históricos las Identificaciones Nº 715 y Nº 7485, hasta la promulgación de la presente Ordenanza, con cuotas mensuales de once pesos ($11.-)  para la Identificación Nº 715 y cinco pesos ($5.-) para la Identificación Nº 7485.</w:t>
      </w:r>
    </w:p>
    <w:p>
      <w:pPr>
        <w:pStyle w:val="P3"/>
        <w:ind w:hanging="709" w:left="709"/>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OTÓRGASE </w:t>
      </w:r>
      <w:r>
        <w:rPr>
          <w:rFonts w:ascii="Courier New" w:hAnsi="Courier New"/>
        </w:rPr>
        <w:t xml:space="preserve">el beneficio de la Ordenanza Nº 5485, Artículo 3, fijando una cuota mensual de siete pesos ($7.-) en concepto de Tasa por Servicios a la Propiedad de la designación catastral 3-01-101-014-000 a partir de la promulgación de la presente Ordenanza y hasta Diciembre del 2008 inclusive. </w:t>
      </w:r>
    </w:p>
    <w:p>
      <w:pPr>
        <w:pStyle w:val="P4"/>
        <w:ind w:hanging="1" w:left="709"/>
        <w:jc w:val="both"/>
        <w:outlineLvl w:val="0"/>
        <w:rPr>
          <w:rFonts w:ascii="Courier New" w:hAnsi="Courier New"/>
        </w:rPr>
      </w:pPr>
    </w:p>
    <w:p>
      <w:pPr>
        <w:pStyle w:val="P5"/>
        <w:ind w:hanging="709" w:left="709"/>
        <w:jc w:val="both"/>
        <w:rPr>
          <w:sz w:val="24"/>
          <w:szCs w:val="24"/>
        </w:rPr>
      </w:pPr>
      <w:r>
        <w:rPr>
          <w:b w:val="1"/>
          <w:bCs w:val="1"/>
          <w:sz w:val="24"/>
          <w:szCs w:val="24"/>
          <w:u w:val="single"/>
          <w:lang/>
        </w:rPr>
        <w:t>Art.3</w:t>
      </w:r>
      <w:r>
        <w:rPr>
          <w:b w:val="1"/>
          <w:bCs w:val="1"/>
          <w:sz w:val="24"/>
          <w:szCs w:val="24"/>
          <w:lang/>
        </w:rPr>
        <w:t xml:space="preserve">: EXÍMASE </w:t>
      </w:r>
      <w:r>
        <w:rPr>
          <w:sz w:val="24"/>
          <w:szCs w:val="24"/>
        </w:rPr>
        <w:t>por cada Cuota abonada una cuota de la deuda que posee por Tasa por Servicios a la Propiedad.</w:t>
      </w:r>
    </w:p>
    <w:p>
      <w:pPr>
        <w:pStyle w:val="P4"/>
        <w:ind w:hanging="709" w:left="709"/>
        <w:jc w:val="right"/>
        <w:outlineLvl w:val="0"/>
        <w:rPr>
          <w:rFonts w:ascii="Courier New" w:hAnsi="Courier New"/>
        </w:rPr>
      </w:pPr>
    </w:p>
    <w:p>
      <w:pPr>
        <w:pStyle w:val="P5"/>
        <w:ind w:hanging="709" w:left="709"/>
        <w:jc w:val="both"/>
        <w:rPr>
          <w:sz w:val="24"/>
          <w:szCs w:val="24"/>
          <w:lang/>
        </w:rPr>
      </w:pPr>
      <w:r>
        <w:rPr>
          <w:b w:val="1"/>
          <w:bCs w:val="1"/>
          <w:sz w:val="24"/>
          <w:szCs w:val="24"/>
          <w:u w:val="single"/>
          <w:lang/>
        </w:rPr>
        <w:t>Art.4</w:t>
      </w:r>
      <w:r>
        <w:rPr>
          <w:b w:val="1"/>
          <w:bCs w:val="1"/>
          <w:sz w:val="24"/>
          <w:szCs w:val="24"/>
          <w:lang/>
        </w:rPr>
        <w:t xml:space="preserve">: TRANSCURRIDO </w:t>
      </w:r>
      <w:r>
        <w:rPr>
          <w:sz w:val="24"/>
          <w:szCs w:val="24"/>
          <w:lang/>
        </w:rPr>
        <w:t>el plazo fijado en el Artículo 2, realizar un nuevo Estudio Socioeconómico al grupo familiar y de persistir los motivos que fundamentan la presente Ordenanza, continuar con los beneficios otorgados hasta diciembre de 2009 inclusive.</w:t>
      </w:r>
    </w:p>
    <w:p>
      <w:pPr>
        <w:pStyle w:val="P4"/>
        <w:ind w:hanging="709" w:left="709"/>
        <w:jc w:val="right"/>
        <w:outlineLvl w:val="0"/>
        <w:rPr>
          <w:rFonts w:ascii="Courier New" w:hAnsi="Courier New"/>
        </w:rPr>
      </w:pPr>
      <w:r>
        <w:rPr>
          <w:rFonts w:ascii="Courier New" w:hAnsi="Courier New"/>
        </w:rPr>
        <w:t>...///</w:t>
      </w:r>
    </w:p>
    <w:p>
      <w:pPr>
        <w:pStyle w:val="P4"/>
        <w:ind w:hanging="709" w:left="709"/>
        <w:jc w:val="both"/>
        <w:outlineLvl w:val="0"/>
        <w:rPr>
          <w:rFonts w:ascii="Courier New" w:hAnsi="Courier New"/>
          <w:b w:val="1"/>
          <w:bCs w:val="1"/>
          <w:u w:val="single"/>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b w:val="1"/>
          <w:bCs w:val="1"/>
          <w:sz w:val="24"/>
          <w:szCs w:val="24"/>
          <w:u w:val="single"/>
          <w:lang/>
        </w:rPr>
      </w:pPr>
    </w:p>
    <w:p>
      <w:pPr>
        <w:pStyle w:val="P5"/>
        <w:ind w:hanging="709" w:left="709"/>
        <w:jc w:val="both"/>
        <w:rPr>
          <w:sz w:val="24"/>
          <w:szCs w:val="24"/>
          <w:lang/>
        </w:rPr>
      </w:pPr>
    </w:p>
    <w:p>
      <w:pPr>
        <w:pStyle w:val="P5"/>
        <w:ind w:hanging="709" w:left="709"/>
        <w:jc w:val="both"/>
        <w:rPr>
          <w:sz w:val="24"/>
          <w:szCs w:val="24"/>
          <w:lang/>
        </w:rPr>
      </w:pPr>
      <w:r>
        <w:rPr>
          <w:sz w:val="24"/>
          <w:szCs w:val="24"/>
          <w:lang/>
        </w:rPr>
        <w:t>...///3.-</w:t>
      </w:r>
    </w:p>
    <w:p>
      <w:pPr>
        <w:pStyle w:val="P5"/>
        <w:ind w:hanging="709" w:left="709"/>
        <w:jc w:val="both"/>
        <w:rPr>
          <w:sz w:val="24"/>
          <w:szCs w:val="24"/>
          <w:lang/>
        </w:rPr>
      </w:pPr>
    </w:p>
    <w:p>
      <w:pPr>
        <w:pStyle w:val="P5"/>
        <w:ind w:hanging="709" w:left="709"/>
        <w:jc w:val="both"/>
        <w:rPr>
          <w:sz w:val="24"/>
          <w:szCs w:val="24"/>
          <w:lang/>
        </w:rPr>
      </w:pPr>
      <w:r>
        <w:rPr>
          <w:b w:val="1"/>
          <w:bCs w:val="1"/>
          <w:sz w:val="24"/>
          <w:szCs w:val="24"/>
          <w:u w:val="single"/>
          <w:lang/>
        </w:rPr>
        <w:t>Art.5</w:t>
      </w:r>
      <w:r>
        <w:rPr>
          <w:b w:val="1"/>
          <w:bCs w:val="1"/>
          <w:sz w:val="24"/>
          <w:szCs w:val="24"/>
          <w:lang/>
        </w:rPr>
        <w:t>: CADÚQUENSE</w:t>
      </w:r>
      <w:r>
        <w:rPr>
          <w:sz w:val="24"/>
          <w:szCs w:val="24"/>
          <w:lang/>
        </w:rPr>
        <w:t xml:space="preserve"> todos los beneficios otorgados en caso de venta, transferencia o cambio de titularidad del inmueble de referencia o en el automotor. Situación similar si se produce mora en 3 cuotas consecutivas o 5 alternativas en las Tasas actuales o los Planes de Pagos otorgados precedentemente.</w:t>
      </w:r>
    </w:p>
    <w:p>
      <w:pPr>
        <w:pStyle w:val="P5"/>
        <w:ind w:hanging="709" w:left="709"/>
        <w:jc w:val="both"/>
        <w:rPr>
          <w:b w:val="1"/>
          <w:bCs w:val="1"/>
          <w:sz w:val="24"/>
          <w:szCs w:val="24"/>
          <w:u w:val="single"/>
          <w:lang/>
        </w:rPr>
      </w:pPr>
      <w:r>
        <w:rPr>
          <w:sz w:val="24"/>
          <w:szCs w:val="24"/>
          <w:lang/>
        </w:rPr>
        <w:t xml:space="preserve"> </w:t>
      </w:r>
    </w:p>
    <w:p>
      <w:pPr>
        <w:pStyle w:val="P5"/>
        <w:ind w:hanging="709" w:left="709"/>
        <w:jc w:val="both"/>
        <w:rPr>
          <w:sz w:val="24"/>
          <w:szCs w:val="24"/>
          <w:lang/>
        </w:rPr>
      </w:pPr>
      <w:r>
        <w:rPr>
          <w:b w:val="1"/>
          <w:bCs w:val="1"/>
          <w:sz w:val="24"/>
          <w:szCs w:val="24"/>
          <w:u w:val="single"/>
          <w:lang/>
        </w:rPr>
        <w:t>Art.6</w:t>
      </w:r>
      <w:r>
        <w:rPr>
          <w:b w:val="1"/>
          <w:bCs w:val="1"/>
          <w:sz w:val="24"/>
          <w:szCs w:val="24"/>
          <w:lang/>
        </w:rPr>
        <w:t xml:space="preserve">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VEINTISIETE DÍAS DEL MES DE SEPTIEMBRE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2026-07-09T18:53:09Z</dcterms:created>
  <cp:lastModifiedBy>Federico Parisi</cp:lastModifiedBy>
  <cp:lastPrinted>2007-09-29T12:41:00Z</cp:lastPrinted>
  <dcterms:modified xsi:type="dcterms:W3CDTF">2026-07-09T18:53:09Z</dcterms:modified>
  <cp:revision>2</cp:revision>
  <dc:title>P R O Y E C T O   D E   O R D E N A N Z A</dc:title>
</cp:coreProperties>
</file>