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7839</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648/02 y la Ordenanza Nº 7504;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Que por nota del día 17 de Julio de 2007 el Sr. Farías, Miguel Ángel solicita la extensión del beneficio otorgado por la Ordenanza Nº 7504, hasta Agosto de 2007 inclusive;</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analizando el detalle de deuda emitido por Dirección de Ingresos Públicos, el solicitante ha cumplido con el compromiso contenido, según consta a Fs. 42;</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se presentó el Sr. Farías ante los miembros de la Comisión de Hacienda a fin de exponer su situación;</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de acuerdo al informe Socioeconómico, el solicitante recibe módulo alimentario, tienen gastos en medicamentos, ya que él como su esposa tienen problemas de salud y el solicitante recibe una pensión graciable de trescientos cincuenta pesos ($350.-) según consta a Fs. 41;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27 de septiembre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PRORRÓGASE</w:t>
      </w:r>
      <w:r>
        <w:rPr>
          <w:rFonts w:ascii="Courier New" w:hAnsi="Courier New"/>
        </w:rPr>
        <w:t xml:space="preserve"> el beneficio otorgado por la Ordenanza Nº 7504 al Sr. Miguel Ángel Farías, L.E Nº 6.416.366 desde Septiembre de 2007 hasta Diciembre de 2008 inclusive,.</w:t>
      </w:r>
    </w:p>
    <w:p>
      <w:pPr>
        <w:pStyle w:val="P3"/>
        <w:ind w:hanging="709" w:left="709"/>
        <w:jc w:val="right"/>
        <w:rPr>
          <w:rFonts w:ascii="Courier New" w:hAnsi="Courier New"/>
        </w:rPr>
      </w:pPr>
      <w:r>
        <w:rPr>
          <w:rFonts w:ascii="Courier New" w:hAnsi="Courier New"/>
        </w:rPr>
        <w:t>...///</w:t>
      </w:r>
    </w:p>
    <w:p>
      <w:pPr>
        <w:pStyle w:val="P4"/>
        <w:ind w:hanging="709" w:left="709"/>
        <w:jc w:val="both"/>
        <w:outlineLvl w:val="0"/>
        <w:rPr>
          <w:rFonts w:ascii="Courier New" w:hAnsi="Courier New"/>
          <w:b w:val="1"/>
          <w:bCs w:val="1"/>
          <w:u w:val="single"/>
        </w:rPr>
      </w:pPr>
    </w:p>
    <w:p>
      <w:pPr>
        <w:pStyle w:val="P4"/>
        <w:ind w:hanging="709" w:left="709"/>
        <w:jc w:val="both"/>
        <w:outlineLvl w:val="0"/>
        <w:rPr>
          <w:rFonts w:ascii="Courier New" w:hAnsi="Courier New"/>
          <w:b w:val="1"/>
          <w:bCs w:val="1"/>
          <w:u w:val="single"/>
        </w:rPr>
      </w:pPr>
    </w:p>
    <w:p>
      <w:pPr>
        <w:pStyle w:val="P4"/>
        <w:ind w:hanging="709" w:left="709"/>
        <w:jc w:val="both"/>
        <w:outlineLvl w:val="0"/>
        <w:rPr>
          <w:rFonts w:ascii="Courier New" w:hAnsi="Courier New"/>
          <w:b w:val="1"/>
          <w:bCs w:val="1"/>
          <w:u w:val="single"/>
        </w:rPr>
      </w:pPr>
    </w:p>
    <w:p>
      <w:pPr>
        <w:pStyle w:val="P4"/>
        <w:ind w:hanging="709" w:left="709"/>
        <w:jc w:val="both"/>
        <w:outlineLvl w:val="0"/>
        <w:rPr>
          <w:rFonts w:ascii="Courier New" w:hAnsi="Courier New"/>
          <w:b w:val="1"/>
          <w:bCs w:val="1"/>
          <w:u w:val="single"/>
        </w:rPr>
      </w:pPr>
    </w:p>
    <w:p>
      <w:pPr>
        <w:pStyle w:val="P4"/>
        <w:ind w:hanging="709" w:left="709"/>
        <w:jc w:val="both"/>
        <w:outlineLvl w:val="0"/>
        <w:rPr>
          <w:rFonts w:ascii="Courier New" w:hAnsi="Courier New"/>
          <w:b w:val="1"/>
          <w:bCs w:val="1"/>
          <w:u w:val="single"/>
        </w:rPr>
      </w:pPr>
    </w:p>
    <w:p>
      <w:pPr>
        <w:pStyle w:val="P4"/>
        <w:ind w:hanging="709" w:left="709"/>
        <w:jc w:val="both"/>
        <w:outlineLvl w:val="0"/>
        <w:rPr>
          <w:rFonts w:ascii="Courier New" w:hAnsi="Courier New"/>
          <w:b w:val="1"/>
          <w:bCs w:val="1"/>
          <w:u w:val="single"/>
        </w:rPr>
      </w:pPr>
    </w:p>
    <w:p>
      <w:pPr>
        <w:pStyle w:val="P4"/>
        <w:ind w:hanging="709" w:left="709"/>
        <w:jc w:val="both"/>
        <w:outlineLvl w:val="0"/>
        <w:rPr>
          <w:rFonts w:ascii="Courier New" w:hAnsi="Courier New"/>
        </w:rPr>
      </w:pPr>
      <w:r>
        <w:rPr>
          <w:rFonts w:ascii="Courier New" w:hAnsi="Courier New"/>
        </w:rPr>
        <w:t>...///2.-</w:t>
      </w:r>
    </w:p>
    <w:p>
      <w:pPr>
        <w:pStyle w:val="P4"/>
        <w:ind w:hanging="709" w:left="709"/>
        <w:jc w:val="both"/>
        <w:outlineLvl w:val="0"/>
        <w:rPr>
          <w:rFonts w:ascii="Courier New" w:hAnsi="Courier New"/>
          <w:b w:val="1"/>
          <w:bCs w:val="1"/>
          <w:u w:val="single"/>
        </w:rPr>
      </w:pPr>
    </w:p>
    <w:p>
      <w:pPr>
        <w:pStyle w:val="P4"/>
        <w:ind w:hanging="709" w:left="709"/>
        <w:jc w:val="both"/>
        <w:outlineLvl w:val="0"/>
        <w:rPr>
          <w:rFonts w:ascii="Courier New" w:hAnsi="Courier New"/>
        </w:rPr>
      </w:pPr>
      <w:r>
        <w:rPr>
          <w:rFonts w:ascii="Courier New" w:hAnsi="Courier New"/>
          <w:b w:val="1"/>
          <w:bCs w:val="1"/>
          <w:u w:val="single"/>
        </w:rPr>
        <w:t>Art.2</w:t>
      </w:r>
      <w:r>
        <w:rPr>
          <w:rFonts w:ascii="Courier New" w:hAnsi="Courier New"/>
          <w:b w:val="1"/>
          <w:bCs w:val="1"/>
        </w:rPr>
        <w:t xml:space="preserve">: </w:t>
      </w:r>
      <w:r>
        <w:rPr>
          <w:rFonts w:ascii="Courier New" w:hAnsi="Courier New"/>
          <w:b w:val="1"/>
          <w:bCs w:val="1"/>
          <w:caps w:val="1"/>
        </w:rPr>
        <w:t>CUMPLIDO</w:t>
      </w:r>
      <w:r>
        <w:rPr>
          <w:rFonts w:ascii="Courier New" w:hAnsi="Courier New"/>
          <w:b w:val="1"/>
          <w:bCs w:val="1"/>
        </w:rPr>
        <w:t xml:space="preserve"> </w:t>
      </w:r>
      <w:r>
        <w:rPr>
          <w:rFonts w:ascii="Courier New" w:hAnsi="Courier New"/>
        </w:rPr>
        <w:t>este término hacer un nuevo Socioeconómico y si persisten los motivos que fundamentan la referida Ordenanza, continuar por doce meses más con el beneficio otorgado en el Artículo anterior.</w:t>
      </w:r>
    </w:p>
    <w:p>
      <w:pPr>
        <w:pStyle w:val="P4"/>
        <w:ind w:hanging="709" w:left="709"/>
        <w:jc w:val="both"/>
        <w:outlineLvl w:val="0"/>
        <w:rPr>
          <w:rFonts w:ascii="Courier New" w:hAnsi="Courier New"/>
          <w:b w:val="1"/>
          <w:bCs w:val="1"/>
          <w:u w:val="single"/>
        </w:rPr>
      </w:pPr>
    </w:p>
    <w:p>
      <w:pPr>
        <w:pStyle w:val="P5"/>
        <w:ind w:hanging="709" w:left="709"/>
        <w:jc w:val="both"/>
        <w:rPr>
          <w:sz w:val="24"/>
          <w:szCs w:val="24"/>
          <w:lang/>
        </w:rPr>
      </w:pPr>
      <w:r>
        <w:rPr>
          <w:b w:val="1"/>
          <w:bCs w:val="1"/>
          <w:sz w:val="24"/>
          <w:szCs w:val="24"/>
          <w:u w:val="single"/>
          <w:lang/>
        </w:rPr>
        <w:t>Art.3</w:t>
      </w:r>
      <w:r>
        <w:rPr>
          <w:b w:val="1"/>
          <w:bCs w:val="1"/>
          <w:sz w:val="24"/>
          <w:szCs w:val="24"/>
          <w:lang/>
        </w:rPr>
        <w:t>: PROTOCOLÍCESE</w:t>
      </w:r>
      <w:r>
        <w:rPr>
          <w:sz w:val="24"/>
          <w:szCs w:val="24"/>
          <w:lang/>
        </w:rPr>
        <w:t>, comuníquese, publíquese en el Boletín Oficial de la Ciudad de Alta Gracia, transcríbase al libro de Ordenanzas y Archívese.</w:t>
      </w:r>
    </w:p>
    <w:p>
      <w:pPr>
        <w:pStyle w:val="P5"/>
        <w:ind w:hanging="709" w:left="709"/>
        <w:jc w:val="both"/>
        <w:rPr>
          <w:b w:val="1"/>
          <w:bCs w:val="1"/>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VEINTISIETE DÍAS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2026-07-09T18:53:00Z</dcterms:created>
  <cp:lastModifiedBy>Federico Parisi</cp:lastModifiedBy>
  <cp:lastPrinted>2007-10-22T23:38:00Z</cp:lastPrinted>
  <dcterms:modified xsi:type="dcterms:W3CDTF">2026-07-09T18:53:00Z</dcterms:modified>
  <cp:revision>2</cp:revision>
  <dc:title>P R O Y E C T O   D E   O R D E N A N Z A</dc:title>
</cp:coreProperties>
</file>