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sz w:val="24"/>
          <w:szCs w:val="24"/>
          <w:lang w:val="es-AR"/>
        </w:rPr>
      </w:pPr>
      <w:r>
        <w:rPr>
          <w:b w:val="1"/>
          <w:bCs w:val="1"/>
          <w:sz w:val="24"/>
          <w:szCs w:val="24"/>
          <w:u w:val="single"/>
          <w:lang w:val="es-AR"/>
        </w:rPr>
        <w:t>ORDENANZA N° 784</w:t>
      </w:r>
      <w:r>
        <w:rPr>
          <w:b w:val="1"/>
          <w:bCs w:val="1"/>
          <w:sz w:val="24"/>
          <w:szCs w:val="24"/>
          <w:u w:val="single"/>
          <w:lang w:val="es-AR"/>
        </w:rPr>
        <w:t>3</w:t>
      </w:r>
    </w:p>
    <w:p>
      <w:pPr>
        <w:pStyle w:val="P2"/>
        <w:ind w:hanging="709" w:left="709"/>
        <w:jc w:val="both"/>
        <w:rPr>
          <w:sz w:val="24"/>
          <w:szCs w:val="24"/>
          <w:lang w:val="es-AR"/>
        </w:rPr>
      </w:pPr>
    </w:p>
    <w:p>
      <w:pPr>
        <w:pStyle w:val="P2"/>
        <w:ind w:hanging="709" w:left="709"/>
        <w:jc w:val="both"/>
        <w:rPr>
          <w:sz w:val="24"/>
          <w:szCs w:val="24"/>
          <w:lang w:val="es-AR"/>
        </w:rPr>
      </w:pPr>
      <w:r>
        <w:rPr>
          <w:sz w:val="24"/>
          <w:szCs w:val="24"/>
          <w:lang w:val="es-AR"/>
        </w:rPr>
        <w:t xml:space="preserve">Vistos: los Expedientes Nº 556/07, N° 1058/03 y N° 1372/03; y </w:t>
      </w:r>
    </w:p>
    <w:p>
      <w:pPr>
        <w:pStyle w:val="P2"/>
        <w:ind w:hanging="709" w:left="709"/>
        <w:jc w:val="both"/>
        <w:rPr>
          <w:b w:val="1"/>
          <w:bCs w:val="1"/>
          <w:sz w:val="24"/>
          <w:szCs w:val="24"/>
          <w:lang w:val="es-AR"/>
        </w:rPr>
      </w:pPr>
    </w:p>
    <w:p>
      <w:pPr>
        <w:pStyle w:val="P2"/>
        <w:ind w:left="3540"/>
        <w:rPr>
          <w:b w:val="1"/>
          <w:bCs w:val="1"/>
          <w:sz w:val="24"/>
          <w:szCs w:val="24"/>
          <w:lang w:val="es-AR"/>
        </w:rPr>
      </w:pPr>
    </w:p>
    <w:p>
      <w:pPr>
        <w:pStyle w:val="P2"/>
        <w:jc w:val="center"/>
        <w:rPr>
          <w:b w:val="1"/>
          <w:bCs w:val="1"/>
          <w:sz w:val="24"/>
          <w:szCs w:val="24"/>
          <w:lang w:val="es-AR"/>
        </w:rPr>
      </w:pPr>
      <w:r>
        <w:rPr>
          <w:b w:val="1"/>
          <w:bCs w:val="1"/>
          <w:sz w:val="24"/>
          <w:szCs w:val="24"/>
          <w:lang w:val="es-AR"/>
        </w:rPr>
        <w:t>C O N S I D E R A N D O</w:t>
      </w:r>
    </w:p>
    <w:p>
      <w:pPr>
        <w:pStyle w:val="P2"/>
        <w:rPr>
          <w:b w:val="1"/>
          <w:bCs w:val="1"/>
          <w:sz w:val="24"/>
          <w:szCs w:val="24"/>
          <w:lang w:val="es-AR"/>
        </w:rPr>
      </w:pPr>
    </w:p>
    <w:p>
      <w:pPr>
        <w:pStyle w:val="P2"/>
        <w:rPr>
          <w:b w:val="1"/>
          <w:bCs w:val="1"/>
          <w:sz w:val="24"/>
          <w:szCs w:val="24"/>
          <w:lang w:val="es-AR"/>
        </w:rPr>
      </w:pPr>
    </w:p>
    <w:p>
      <w:pPr>
        <w:pStyle w:val="P3"/>
        <w:rPr>
          <w:rFonts w:ascii="Courier New" w:hAnsi="Courier New"/>
        </w:rPr>
      </w:pPr>
      <w:r>
        <w:rPr>
          <w:rFonts w:ascii="Courier New" w:hAnsi="Courier New"/>
        </w:rPr>
        <w:t>Que dichos expedientes contienen pedidos de donación de lote;</w:t>
      </w:r>
    </w:p>
    <w:p>
      <w:pPr>
        <w:pStyle w:val="P3"/>
        <w:rPr>
          <w:rFonts w:ascii="Courier New" w:hAnsi="Courier New"/>
        </w:rPr>
      </w:pPr>
    </w:p>
    <w:p>
      <w:pPr>
        <w:pStyle w:val="P3"/>
        <w:rPr>
          <w:rFonts w:ascii="Courier New" w:hAnsi="Courier New"/>
        </w:rPr>
      </w:pPr>
      <w:r>
        <w:rPr>
          <w:rFonts w:ascii="Courier New" w:hAnsi="Courier New"/>
        </w:rPr>
        <w:t>Que en el caso del Expediente Nº 1372/03 iniciado por Claudia Roxana Medina, se cumplimentó lo solicitado mediante Ordenanza Nº 6780/03;</w:t>
      </w:r>
    </w:p>
    <w:p>
      <w:pPr>
        <w:pStyle w:val="P3"/>
        <w:rPr>
          <w:rFonts w:ascii="Courier New" w:hAnsi="Courier New"/>
        </w:rPr>
      </w:pPr>
    </w:p>
    <w:p>
      <w:pPr>
        <w:pStyle w:val="P3"/>
        <w:rPr>
          <w:rFonts w:ascii="Courier New" w:hAnsi="Courier New"/>
        </w:rPr>
      </w:pPr>
      <w:r>
        <w:rPr>
          <w:rFonts w:ascii="Courier New" w:hAnsi="Courier New"/>
        </w:rPr>
        <w:t>Que de acuerdo al informe de la Dirección de la Vivienda obrante a fs. 20 del Expediente N° 1058/06, la Sra. Medina no cumplió con los plazos y requisitos establecidos en la Ordenanza Nº 6780; por lo cual la misma, ha caducado de pleno derecho;</w:t>
      </w:r>
    </w:p>
    <w:p>
      <w:pPr>
        <w:pStyle w:val="P3"/>
        <w:rPr>
          <w:rFonts w:ascii="Courier New" w:hAnsi="Courier New"/>
        </w:rPr>
      </w:pPr>
    </w:p>
    <w:p>
      <w:pPr>
        <w:pStyle w:val="P3"/>
        <w:rPr>
          <w:rFonts w:ascii="Courier New" w:hAnsi="Courier New"/>
        </w:rPr>
      </w:pPr>
      <w:r>
        <w:rPr>
          <w:rFonts w:ascii="Courier New" w:hAnsi="Courier New"/>
        </w:rPr>
        <w:t>Que mediante Expediente Nº 1058/06, la Sra. Mauricia Rosa Montañez, al igual que la Sra. Mariela Del Valle Martínez mediante Expediente Nº 556/07 solicitan el lote que había sido donado a la Sra. Medina;</w:t>
      </w:r>
    </w:p>
    <w:p>
      <w:pPr>
        <w:pStyle w:val="P3"/>
        <w:rPr>
          <w:rFonts w:ascii="Courier New" w:hAnsi="Courier New"/>
        </w:rPr>
      </w:pPr>
    </w:p>
    <w:p>
      <w:pPr>
        <w:pStyle w:val="P3"/>
        <w:rPr>
          <w:rFonts w:ascii="Courier New" w:hAnsi="Courier New"/>
        </w:rPr>
      </w:pPr>
      <w:r>
        <w:rPr>
          <w:rFonts w:ascii="Courier New" w:hAnsi="Courier New"/>
        </w:rPr>
        <w:t xml:space="preserve">Que por tratarse de personas que estaban en condiciones de ser beneficiarias; y con el objeto de ser estrictamente justos en el otorgamiento del beneficio, la Comisión de Legislación General pidió que lo tratara el Concejo constituido en Comisión; </w:t>
      </w:r>
    </w:p>
    <w:p>
      <w:pPr>
        <w:pStyle w:val="P3"/>
        <w:ind w:left="708"/>
        <w:rPr>
          <w:rFonts w:ascii="Courier New" w:hAnsi="Courier New"/>
        </w:rPr>
      </w:pPr>
    </w:p>
    <w:p>
      <w:pPr>
        <w:pStyle w:val="P3"/>
        <w:ind w:left="708"/>
        <w:rPr>
          <w:rFonts w:ascii="Courier New" w:hAnsi="Courier New"/>
        </w:rPr>
      </w:pPr>
      <w:r>
        <w:rPr>
          <w:rFonts w:ascii="Courier New" w:hAnsi="Courier New"/>
        </w:rPr>
        <w:t xml:space="preserve">Que evaluadas ambas solicitudes, el Cuerpo considera la acuciante situación de la Sra. Martínez y su pequeño hijo enfermo; </w:t>
      </w:r>
    </w:p>
    <w:p>
      <w:pPr>
        <w:pStyle w:val="P3"/>
        <w:ind w:left="708"/>
        <w:rPr>
          <w:rFonts w:ascii="Courier New" w:hAnsi="Courier New"/>
        </w:rPr>
      </w:pPr>
    </w:p>
    <w:p>
      <w:pPr>
        <w:pStyle w:val="P3"/>
        <w:ind w:left="708"/>
        <w:rPr>
          <w:rFonts w:ascii="Courier New" w:hAnsi="Courier New"/>
        </w:rPr>
      </w:pPr>
      <w:r>
        <w:rPr>
          <w:rFonts w:ascii="Courier New" w:hAnsi="Courier New"/>
        </w:rPr>
        <w:t>Que ante la presencia de ambas solicitantes en el recinto de este Honorable Concejo Deliberante, se les comunicó cual sería el criterio del Cuerpo estando ellas de acuerdo;</w:t>
      </w:r>
    </w:p>
    <w:p>
      <w:pPr>
        <w:pStyle w:val="P3"/>
        <w:ind w:left="708"/>
        <w:rPr>
          <w:rFonts w:ascii="Courier New" w:hAnsi="Courier New"/>
        </w:rPr>
      </w:pPr>
    </w:p>
    <w:p>
      <w:pPr>
        <w:pStyle w:val="P3"/>
        <w:ind w:left="708"/>
      </w:pPr>
      <w:r>
        <w:rPr>
          <w:rFonts w:ascii="Courier New" w:hAnsi="Courier New"/>
        </w:rPr>
        <w:t>Que evaluado el contenido de los Expedientes mencionados por el Concejo en Comisión, se emite despacho de conformidad a las Ordenanzas vigentes, aprobado por unanimidad en Sesión Ordinaria de fecha 27 de Septiembre de 2007</w:t>
      </w:r>
      <w:r>
        <w:t>.</w:t>
      </w:r>
    </w:p>
    <w:p>
      <w:pPr>
        <w:pStyle w:val="P3"/>
        <w:ind w:left="0"/>
        <w:jc w:val="right"/>
        <w:rPr>
          <w:rFonts w:ascii="Courier New" w:hAnsi="Courier New"/>
        </w:rPr>
      </w:pPr>
      <w:r>
        <w:rPr>
          <w:rFonts w:ascii="Courier New" w:hAnsi="Courier New"/>
        </w:rPr>
        <w:t>...///</w:t>
      </w:r>
    </w:p>
    <w:p>
      <w:pPr>
        <w:pStyle w:val="P3"/>
        <w:ind w:left="708"/>
        <w:rPr>
          <w:rFonts w:ascii="Courier New" w:hAnsi="Courier New"/>
        </w:rPr>
      </w:pPr>
    </w:p>
    <w:p>
      <w:pPr>
        <w:pStyle w:val="P3"/>
        <w:ind w:left="708"/>
        <w:rPr>
          <w:rFonts w:ascii="Courier New" w:hAnsi="Courier New"/>
        </w:rPr>
      </w:pPr>
    </w:p>
    <w:p>
      <w:pPr>
        <w:pStyle w:val="P3"/>
        <w:ind w:left="708"/>
        <w:rPr>
          <w:rFonts w:ascii="Courier New" w:hAnsi="Courier New"/>
        </w:rPr>
      </w:pPr>
    </w:p>
    <w:p>
      <w:pPr>
        <w:pStyle w:val="P3"/>
        <w:ind w:left="708"/>
        <w:rPr>
          <w:rFonts w:ascii="Courier New" w:hAnsi="Courier New"/>
        </w:rPr>
      </w:pPr>
    </w:p>
    <w:p>
      <w:pPr>
        <w:pStyle w:val="P3"/>
        <w:ind w:left="708"/>
        <w:rPr>
          <w:rFonts w:ascii="Courier New" w:hAnsi="Courier New"/>
        </w:rPr>
      </w:pPr>
    </w:p>
    <w:p>
      <w:pPr>
        <w:pStyle w:val="P3"/>
        <w:ind w:left="0"/>
        <w:rPr>
          <w:rFonts w:ascii="Courier New" w:hAnsi="Courier New"/>
        </w:rPr>
      </w:pPr>
      <w:r>
        <w:rPr>
          <w:rFonts w:ascii="Courier New" w:hAnsi="Courier New"/>
        </w:rPr>
        <w:t>...///2.-</w:t>
      </w:r>
    </w:p>
    <w:p>
      <w:pPr>
        <w:pStyle w:val="P2"/>
        <w:jc w:val="center"/>
        <w:rPr>
          <w:b w:val="1"/>
          <w:bCs w:val="1"/>
          <w:sz w:val="24"/>
          <w:szCs w:val="24"/>
          <w:lang w:val="es-AR"/>
        </w:rPr>
      </w:pPr>
    </w:p>
    <w:p>
      <w:pPr>
        <w:pStyle w:val="P2"/>
        <w:jc w:val="center"/>
        <w:rPr>
          <w:b w:val="1"/>
          <w:bCs w:val="1"/>
          <w:sz w:val="24"/>
          <w:szCs w:val="24"/>
          <w:lang w:val="es-AR"/>
        </w:rPr>
      </w:pPr>
    </w:p>
    <w:p>
      <w:pPr>
        <w:pStyle w:val="P2"/>
        <w:jc w:val="center"/>
        <w:rPr>
          <w:b w:val="1"/>
          <w:bCs w:val="1"/>
          <w:sz w:val="24"/>
          <w:szCs w:val="24"/>
          <w:lang w:val="es-AR"/>
        </w:rPr>
      </w:pPr>
      <w:r>
        <w:rPr>
          <w:b w:val="1"/>
          <w:bCs w:val="1"/>
          <w:sz w:val="24"/>
          <w:szCs w:val="24"/>
          <w:lang w:val="es-AR"/>
        </w:rPr>
        <w:t>EL HONORABLE CONCEJO DELIBERANTE DE LA CIUDAD DE</w:t>
      </w:r>
    </w:p>
    <w:p>
      <w:pPr>
        <w:pStyle w:val="P2"/>
        <w:jc w:val="center"/>
        <w:rPr>
          <w:b w:val="1"/>
          <w:bCs w:val="1"/>
          <w:sz w:val="24"/>
          <w:szCs w:val="24"/>
          <w:lang w:val="es-AR"/>
        </w:rPr>
      </w:pPr>
    </w:p>
    <w:p>
      <w:pPr>
        <w:pStyle w:val="P2"/>
        <w:jc w:val="center"/>
        <w:rPr>
          <w:b w:val="1"/>
          <w:bCs w:val="1"/>
          <w:sz w:val="24"/>
          <w:szCs w:val="24"/>
          <w:lang w:val="es-AR"/>
        </w:rPr>
      </w:pPr>
    </w:p>
    <w:p>
      <w:pPr>
        <w:pStyle w:val="P2"/>
        <w:jc w:val="center"/>
        <w:rPr>
          <w:b w:val="1"/>
          <w:bCs w:val="1"/>
          <w:sz w:val="24"/>
          <w:szCs w:val="24"/>
          <w:lang w:val="es-AR"/>
        </w:rPr>
      </w:pPr>
      <w:r>
        <w:rPr>
          <w:b w:val="1"/>
          <w:bCs w:val="1"/>
          <w:sz w:val="24"/>
          <w:szCs w:val="24"/>
          <w:lang w:val="es-AR"/>
        </w:rPr>
        <w:t>ALTA GRACIA SANCIONA CON FUERZA DE ORDENANZA</w:t>
      </w:r>
    </w:p>
    <w:p>
      <w:pPr>
        <w:pStyle w:val="P2"/>
        <w:ind w:hanging="709" w:left="709"/>
        <w:jc w:val="both"/>
        <w:rPr>
          <w:b w:val="1"/>
          <w:bCs w:val="1"/>
          <w:sz w:val="24"/>
          <w:szCs w:val="24"/>
          <w:u w:val="single"/>
          <w:lang w:val="es-AR"/>
        </w:rPr>
      </w:pPr>
    </w:p>
    <w:p>
      <w:pPr>
        <w:ind w:hanging="709" w:left="709"/>
        <w:jc w:val="both"/>
        <w:rPr>
          <w:rFonts w:ascii="Courier New" w:hAnsi="Courier New"/>
          <w:b w:val="1"/>
          <w:bCs w:val="1"/>
          <w:sz w:val="24"/>
          <w:szCs w:val="24"/>
          <w:u w:val="single"/>
          <w:lang w:val="es-AR"/>
        </w:rPr>
      </w:pP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Art.1</w:t>
      </w:r>
      <w:r>
        <w:rPr>
          <w:rFonts w:ascii="Courier New" w:hAnsi="Courier New"/>
          <w:b w:val="1"/>
          <w:bCs w:val="1"/>
          <w:sz w:val="24"/>
          <w:szCs w:val="24"/>
          <w:lang w:val="es-AR"/>
        </w:rPr>
        <w:t>: DERÓGUESE</w:t>
      </w:r>
      <w:r>
        <w:rPr>
          <w:rFonts w:ascii="Courier New" w:hAnsi="Courier New"/>
          <w:sz w:val="24"/>
          <w:szCs w:val="24"/>
          <w:lang w:val="es-AR"/>
        </w:rPr>
        <w:t xml:space="preserve"> la Ordenanza Nº 6780. </w:t>
      </w:r>
    </w:p>
    <w:p>
      <w:pPr>
        <w:ind w:hanging="709" w:left="709"/>
        <w:jc w:val="both"/>
        <w:rPr>
          <w:rFonts w:ascii="Courier New" w:hAnsi="Courier New"/>
          <w:b w:val="1"/>
          <w:bCs w:val="1"/>
          <w:sz w:val="24"/>
          <w:szCs w:val="24"/>
          <w:u w:val="single"/>
          <w:lang w:val="es-AR"/>
        </w:rPr>
      </w:pPr>
      <w:r>
        <w:rPr>
          <w:rFonts w:ascii="Courier New" w:hAnsi="Courier New"/>
          <w:sz w:val="24"/>
          <w:szCs w:val="24"/>
          <w:lang w:val="es-AR"/>
        </w:rPr>
        <w:t xml:space="preserve">   </w:t>
      </w: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Art.2</w:t>
      </w:r>
      <w:r>
        <w:rPr>
          <w:rFonts w:ascii="Courier New" w:hAnsi="Courier New"/>
          <w:b w:val="1"/>
          <w:bCs w:val="1"/>
          <w:sz w:val="24"/>
          <w:szCs w:val="24"/>
          <w:lang w:val="es-AR"/>
        </w:rPr>
        <w:t xml:space="preserve">: OTÓRGUESE </w:t>
      </w:r>
      <w:r>
        <w:rPr>
          <w:rFonts w:ascii="Courier New" w:hAnsi="Courier New"/>
          <w:sz w:val="24"/>
          <w:szCs w:val="24"/>
          <w:lang w:val="es-AR"/>
        </w:rPr>
        <w:t>en donación a la Sra. Mariela del Valle Martínez, D.N.I. Nº 28.678.736, el Lote 3 de la Mz. Of. 14, designación catastral 03-01-290-002 de Barrio Parque San Juan.</w:t>
      </w:r>
    </w:p>
    <w:p>
      <w:pPr>
        <w:ind w:hanging="709" w:left="709"/>
        <w:jc w:val="both"/>
        <w:rPr>
          <w:rFonts w:ascii="Courier New" w:hAnsi="Courier New"/>
          <w:sz w:val="24"/>
          <w:szCs w:val="24"/>
          <w:u w:val="single"/>
          <w:lang w:val="es-AR"/>
        </w:rPr>
      </w:pPr>
    </w:p>
    <w:p>
      <w:pPr>
        <w:ind w:hanging="709" w:left="709"/>
        <w:jc w:val="both"/>
        <w:rPr>
          <w:rFonts w:ascii="Courier New" w:hAnsi="Courier New"/>
          <w:sz w:val="24"/>
          <w:szCs w:val="24"/>
        </w:rPr>
      </w:pPr>
      <w:r>
        <w:rPr>
          <w:rFonts w:ascii="Courier New" w:hAnsi="Courier New"/>
          <w:b w:val="1"/>
          <w:bCs w:val="1"/>
          <w:sz w:val="24"/>
          <w:szCs w:val="24"/>
          <w:u w:val="single"/>
        </w:rPr>
        <w:t>Art.3</w:t>
      </w:r>
      <w:r>
        <w:rPr>
          <w:rFonts w:ascii="Courier New" w:hAnsi="Courier New"/>
          <w:b w:val="1"/>
          <w:bCs w:val="1"/>
          <w:sz w:val="24"/>
          <w:szCs w:val="24"/>
        </w:rPr>
        <w:t>: LA</w:t>
      </w:r>
      <w:r>
        <w:rPr>
          <w:rFonts w:ascii="Courier New" w:hAnsi="Courier New"/>
          <w:sz w:val="24"/>
          <w:szCs w:val="24"/>
        </w:rPr>
        <w:t xml:space="preserve"> beneficiaria debe edificar en un plazo máximo de dieciocho (18) meses a partir de la promulgación de la presente Ordenanza, según el correspondiente plano aprobado por las oficinas técnicas correspondientes.</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Art.4</w:t>
      </w:r>
      <w:r>
        <w:rPr>
          <w:rFonts w:ascii="Courier New" w:hAnsi="Courier New"/>
          <w:b w:val="1"/>
          <w:bCs w:val="1"/>
          <w:sz w:val="24"/>
          <w:szCs w:val="24"/>
        </w:rPr>
        <w:t>: LA</w:t>
      </w:r>
      <w:r>
        <w:rPr>
          <w:rFonts w:ascii="Courier New" w:hAnsi="Courier New"/>
          <w:sz w:val="24"/>
          <w:szCs w:val="24"/>
        </w:rPr>
        <w:t xml:space="preserve"> donación dispuesta en la presente Ordenanza tiene el carácter de intransferible y caducará  de pleno derecho si no se cumplimenta lo prescripto en el Artículo anterior, debiendo la beneficiaria restituir el inmueble a la Municipalidad de Alta Gracia y sólo podrá solicitar prórroga para construir si tiene las tasas al día.</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Art.5</w:t>
      </w:r>
      <w:r>
        <w:rPr>
          <w:rFonts w:ascii="Courier New" w:hAnsi="Courier New"/>
          <w:b w:val="1"/>
          <w:bCs w:val="1"/>
          <w:sz w:val="24"/>
          <w:szCs w:val="24"/>
        </w:rPr>
        <w:t>: LA</w:t>
      </w:r>
      <w:r>
        <w:rPr>
          <w:rFonts w:ascii="Courier New" w:hAnsi="Courier New"/>
          <w:sz w:val="24"/>
          <w:szCs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la beneficiaria de acuerdo al presente artículo, debiendo abonar y mantener al día desde la fecha de la presente, la Tasa por Servicios a la Propiedad.</w:t>
      </w:r>
    </w:p>
    <w:p>
      <w:pPr>
        <w:ind w:hanging="709" w:left="709"/>
        <w:jc w:val="both"/>
        <w:rPr>
          <w:rFonts w:ascii="Courier New" w:hAnsi="Courier New"/>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Art.6</w:t>
      </w:r>
      <w:r>
        <w:rPr>
          <w:rFonts w:ascii="Courier New" w:hAnsi="Courier New"/>
          <w:b w:val="1"/>
          <w:bCs w:val="1"/>
          <w:sz w:val="24"/>
          <w:szCs w:val="24"/>
        </w:rPr>
        <w:t>: EL</w:t>
      </w:r>
      <w:r>
        <w:rPr>
          <w:rFonts w:ascii="Courier New" w:hAnsi="Courier New"/>
          <w:sz w:val="24"/>
          <w:szCs w:val="24"/>
        </w:rPr>
        <w:t xml:space="preserve"> lote donado debe ser destinado exclusivamente a vivienda  familiar  de  la  beneficiaria  y  su  grupo </w:t>
      </w:r>
    </w:p>
    <w:p>
      <w:pPr>
        <w:ind w:hanging="709" w:left="709"/>
        <w:jc w:val="right"/>
        <w:rPr>
          <w:rFonts w:ascii="Courier New" w:hAnsi="Courier New"/>
          <w:sz w:val="24"/>
          <w:szCs w:val="24"/>
        </w:rPr>
      </w:pPr>
      <w:r>
        <w:rPr>
          <w:rFonts w:ascii="Courier New" w:hAnsi="Courier New"/>
          <w:sz w:val="24"/>
          <w:szCs w:val="24"/>
        </w:rPr>
        <w:t>...///</w:t>
      </w: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sz w:val="24"/>
          <w:szCs w:val="24"/>
        </w:rPr>
        <w:t>...///3.-</w:t>
      </w:r>
    </w:p>
    <w:p>
      <w:pPr>
        <w:pStyle w:val="P3"/>
        <w:rPr>
          <w:rFonts w:ascii="Courier New" w:hAnsi="Courier New"/>
          <w:lang w:val="es-ES"/>
        </w:rPr>
      </w:pPr>
      <w:r>
        <w:rPr>
          <w:rFonts w:ascii="Courier New" w:hAnsi="Courier New"/>
          <w:lang w:val="es-ES"/>
        </w:rPr>
        <w:t>familiar, siendo intransferible por el término de diez (10) años.</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Art.7</w:t>
      </w:r>
      <w:r>
        <w:rPr>
          <w:rFonts w:ascii="Courier New" w:hAnsi="Courier New"/>
          <w:b w:val="1"/>
          <w:bCs w:val="1"/>
          <w:sz w:val="24"/>
          <w:szCs w:val="24"/>
        </w:rPr>
        <w:t>: LA</w:t>
      </w:r>
      <w:r>
        <w:rPr>
          <w:rFonts w:ascii="Courier New" w:hAnsi="Courier New"/>
          <w:sz w:val="24"/>
          <w:szCs w:val="24"/>
        </w:rPr>
        <w:t xml:space="preserve"> presente Ordenanza es título hábil de posesión hasta tanto el Departamento Ejecutivo otorgue la correspondiente escritura traslativa de dominio.</w:t>
      </w:r>
    </w:p>
    <w:p>
      <w:pPr>
        <w:ind w:hanging="709" w:left="709"/>
        <w:jc w:val="both"/>
        <w:rPr>
          <w:rFonts w:ascii="Courier New" w:hAnsi="Courier New"/>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Art.8</w:t>
      </w:r>
      <w:r>
        <w:rPr>
          <w:rFonts w:ascii="Courier New" w:hAnsi="Courier New"/>
          <w:b w:val="1"/>
          <w:bCs w:val="1"/>
          <w:sz w:val="24"/>
          <w:szCs w:val="24"/>
        </w:rPr>
        <w:t>:</w:t>
      </w:r>
      <w:r>
        <w:rPr>
          <w:b w:val="1"/>
          <w:bCs w:val="1"/>
          <w:sz w:val="24"/>
          <w:szCs w:val="24"/>
        </w:rPr>
        <w:t xml:space="preserve"> </w:t>
      </w:r>
      <w:r>
        <w:rPr>
          <w:rFonts w:ascii="Courier New" w:hAnsi="Courier New"/>
          <w:b w:val="1"/>
          <w:bCs w:val="1"/>
          <w:sz w:val="24"/>
          <w:szCs w:val="24"/>
        </w:rPr>
        <w:t>AUTORÍZASE</w:t>
      </w:r>
      <w:r>
        <w:rPr>
          <w:rFonts w:ascii="Courier New" w:hAnsi="Courier New"/>
          <w:sz w:val="24"/>
          <w:szCs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ind w:hanging="709" w:left="709"/>
        <w:jc w:val="both"/>
        <w:rPr>
          <w:rFonts w:ascii="Courier New" w:hAnsi="Courier New"/>
          <w:sz w:val="24"/>
          <w:szCs w:val="24"/>
          <w:u w:val="single"/>
        </w:rPr>
      </w:pPr>
    </w:p>
    <w:p>
      <w:pPr>
        <w:ind w:hanging="709" w:left="709"/>
        <w:jc w:val="both"/>
        <w:rPr>
          <w:rFonts w:ascii="Courier New" w:hAnsi="Courier New"/>
          <w:sz w:val="24"/>
          <w:szCs w:val="24"/>
          <w:lang w:val="es-AR"/>
        </w:rPr>
      </w:pPr>
      <w:r>
        <w:rPr>
          <w:rFonts w:ascii="Courier New" w:hAnsi="Courier New"/>
          <w:b w:val="1"/>
          <w:bCs w:val="1"/>
          <w:sz w:val="24"/>
          <w:szCs w:val="24"/>
          <w:u w:val="single"/>
        </w:rPr>
        <w:t>Art.9</w:t>
      </w:r>
      <w:r>
        <w:rPr>
          <w:rFonts w:ascii="Courier New" w:hAnsi="Courier New"/>
          <w:b w:val="1"/>
          <w:bCs w:val="1"/>
          <w:sz w:val="24"/>
          <w:szCs w:val="24"/>
        </w:rPr>
        <w:t>: EN</w:t>
      </w:r>
      <w:r>
        <w:rPr>
          <w:rFonts w:ascii="Courier New" w:hAnsi="Courier New"/>
          <w:sz w:val="24"/>
          <w:szCs w:val="24"/>
        </w:rPr>
        <w:t xml:space="preserve"> todos los casos la donataria debe, a través del área pertinente, dejar expresa constancia de la conformidad del acto y de la renuncia a posteriores reclamos judiciales al Municipio.</w:t>
      </w:r>
    </w:p>
    <w:p>
      <w:pPr>
        <w:ind w:hanging="709" w:left="709"/>
        <w:jc w:val="both"/>
        <w:rPr>
          <w:rFonts w:ascii="Courier New" w:hAnsi="Courier New"/>
          <w:b w:val="1"/>
          <w:bCs w:val="1"/>
          <w:sz w:val="24"/>
          <w:szCs w:val="24"/>
          <w:u w:val="single"/>
          <w:lang w:val="es-AR"/>
        </w:rPr>
      </w:pP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Art.10</w:t>
      </w:r>
      <w:r>
        <w:rPr>
          <w:rFonts w:ascii="Courier New" w:hAnsi="Courier New"/>
          <w:b w:val="1"/>
          <w:bCs w:val="1"/>
          <w:sz w:val="24"/>
          <w:szCs w:val="24"/>
          <w:lang w:val="es-AR"/>
        </w:rPr>
        <w:t>: PROTOCOLÍCESE</w:t>
      </w:r>
      <w:r>
        <w:rPr>
          <w:rFonts w:ascii="Courier New" w:hAnsi="Courier New"/>
          <w:sz w:val="24"/>
          <w:szCs w:val="24"/>
          <w:lang w:val="es-AR"/>
        </w:rPr>
        <w:t>, comuníquese, publíquese en el Boletín Oficial de la Ciudad de Alta Gracia, transcríbase al Libro de Ordenanzas y archívese.</w:t>
      </w:r>
    </w:p>
    <w:p>
      <w:pPr>
        <w:pStyle w:val="P2"/>
        <w:jc w:val="both"/>
        <w:rPr>
          <w:sz w:val="24"/>
          <w:szCs w:val="24"/>
          <w:lang w:val="es-AR"/>
        </w:rPr>
      </w:pPr>
    </w:p>
    <w:p>
      <w:pPr>
        <w:pStyle w:val="P2"/>
        <w:jc w:val="both"/>
        <w:rPr>
          <w:b w:val="1"/>
          <w:bCs w:val="1"/>
          <w:sz w:val="24"/>
          <w:szCs w:val="24"/>
          <w:lang w:val="es-AR"/>
        </w:rPr>
      </w:pPr>
    </w:p>
    <w:p>
      <w:pPr>
        <w:jc w:val="both"/>
        <w:rPr>
          <w:rFonts w:ascii="Courier New" w:hAnsi="Courier New"/>
          <w:b w:val="1"/>
          <w:bCs w:val="1"/>
          <w:sz w:val="24"/>
          <w:szCs w:val="24"/>
          <w:lang w:val="es-AR"/>
        </w:rPr>
      </w:pPr>
      <w:r>
        <w:rPr>
          <w:rFonts w:ascii="Courier New" w:hAnsi="Courier New"/>
          <w:b w:val="1"/>
          <w:bCs w:val="1"/>
          <w:sz w:val="24"/>
          <w:szCs w:val="24"/>
          <w:lang w:val="es-AR"/>
        </w:rPr>
        <w:t>DADA EN LA SALA DE SESIONES DEL HONORABLE CONCEJO DELIBERANTE A LOS VEINTISIETE DÍAS DEL MES DE SEPTIEMBRE DEL AÑO DOS MIL SIETE.</w:t>
      </w:r>
    </w:p>
    <w:p>
      <w:pPr>
        <w:pStyle w:val="P2"/>
        <w:jc w:val="both"/>
        <w:rPr>
          <w:b w:val="1"/>
          <w:bCs w:val="1"/>
          <w:sz w:val="24"/>
          <w:szCs w:val="24"/>
          <w:lang w:val="es-AR"/>
        </w:rPr>
      </w:pPr>
    </w:p>
    <w:sectPr>
      <w:type w:val="nextPage"/>
      <w:pgSz w:w="11907" w:h="16840" w:code="0"/>
      <w:pgMar w:left="1701" w:right="1418" w:top="1701" w:bottom="1418" w:header="720" w:footer="720" w:gutter="0"/>
      <w:cols w:equalWidth="1" w:space="72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num"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rFonts w:ascii="Courier New" w:hAnsi="Courier New"/>
      <w:sz w:val="24"/>
      <w:szCs w:val="24"/>
      <w:lang/>
    </w:rPr>
  </w:style>
  <w:style w:type="paragraph" w:styleId="P2">
    <w:name w:val="Plain Text"/>
    <w:basedOn w:val="P0"/>
    <w:next w:val="P2"/>
    <w:pPr/>
    <w:rPr>
      <w:rFonts w:ascii="Courier New" w:hAnsi="Courier New"/>
    </w:rPr>
  </w:style>
  <w:style w:type="paragraph" w:styleId="P3">
    <w:name w:val="Body Text Indent 2"/>
    <w:basedOn w:val="P0"/>
    <w:next w:val="P3"/>
    <w:pPr>
      <w:ind w:left="709"/>
      <w:jc w:val="both"/>
    </w:pPr>
    <w:rPr>
      <w:sz w:val="24"/>
      <w:szCs w:val="24"/>
      <w:lang w:val="es-AR"/>
    </w:rPr>
  </w:style>
  <w:style w:type="paragraph" w:styleId="P4">
    <w:name w:val="Body Text Indent"/>
    <w:basedOn w:val="P0"/>
    <w:next w:val="P4"/>
    <w:pPr>
      <w:ind w:left="709"/>
    </w:pPr>
    <w:rPr>
      <w:rFonts w:ascii="Courier New" w:hAnsi="Courier New"/>
      <w:sz w:val="24"/>
      <w:szCs w:val="24"/>
      <w:lang w:val="es-UY"/>
    </w:rPr>
  </w:style>
  <w:style w:type="paragraph" w:styleId="P5">
    <w:name w:val="Body Text"/>
    <w:basedOn w:val="P0"/>
    <w:next w:val="P5"/>
    <w:pPr>
      <w:jc w:val="both"/>
    </w:pPr>
    <w:rPr>
      <w:b w:val="1"/>
      <w:bCs w:val="1"/>
      <w:color w:val="000000"/>
      <w:sz w:val="24"/>
      <w:szCs w:val="24"/>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2026-07-09T18:52:26Z</dcterms:created>
  <cp:lastModifiedBy>Federico Parisi</cp:lastModifiedBy>
  <cp:lastPrinted>2007-10-08T16:45:00Z</cp:lastPrinted>
  <dcterms:modified xsi:type="dcterms:W3CDTF">2026-07-09T18:52:26Z</dcterms:modified>
  <cp:revision>2</cp:revision>
  <dc:title>1¾   «        M</dc:title>
</cp:coreProperties>
</file>