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7847</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574/I/07;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según Estudio Socioeconómico a Fs. 12 y 12 vuelta, el solicitante está desocupado, padece algunos problemas físicos, recibe apoyatura por parte del municipio, ya sea con medicamentos y mercadería;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según Dirección de Ingresos Públicos a Fs. 7,8,9 y 10 posee deuda desde el año 1995 y gran parte está en juicio;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a Fs. 4 y 5 se comprueba titularidad del inmueble donde reside;</w:t>
      </w:r>
    </w:p>
    <w:p>
      <w:pPr>
        <w:pStyle w:val="P3"/>
        <w:ind w:left="709"/>
        <w:jc w:val="both"/>
        <w:rPr>
          <w:rFonts w:ascii="Courier New" w:hAnsi="Courier New"/>
        </w:rPr>
      </w:pPr>
      <w:r>
        <w:rPr>
          <w:rFonts w:ascii="Courier New" w:hAnsi="Courier New"/>
        </w:rPr>
        <w:br w:type="textWrapping"/>
        <w:t xml:space="preserve">Que se presentó ante los miembros de la Comisión de Hacienda manifestando su necesidad de solucionar su problema y que está realizando los trámites para una jubilación por invalidez;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04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lang/>
        </w:rPr>
        <w:t xml:space="preserve">OTÓRGASE </w:t>
      </w:r>
      <w:r>
        <w:rPr>
          <w:rFonts w:ascii="Courier New" w:hAnsi="Courier New" w:cs="Courier New"/>
          <w:lang/>
        </w:rPr>
        <w:t>el beneficio del Artículo 3 de la Ordenanza Nº 5485, fijando una cuota mensual de Pesos Cinco ($5.-) en concepto de Tasa por Servicios a la Propiedad, para la Designación Catastral 03-01-308-012 a partir de la promulgación de la presente y hasta Diciembre de 2008 inclusive</w:t>
      </w:r>
    </w:p>
    <w:p>
      <w:pPr>
        <w:pStyle w:val="P4"/>
        <w:ind w:hanging="709" w:left="709"/>
        <w:jc w:val="right"/>
        <w:outlineLvl w:val="0"/>
        <w:rPr>
          <w:rFonts w:ascii="Courier New" w:hAnsi="Courier New"/>
          <w:lang w:val="es-ES"/>
        </w:rPr>
      </w:pPr>
      <w:r>
        <w:rPr>
          <w:rFonts w:ascii="Courier New" w:hAnsi="Courier New"/>
          <w:lang w:val="es-ES"/>
        </w:rPr>
        <w:t>...///</w:t>
      </w: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r>
        <w:rPr>
          <w:sz w:val="24"/>
          <w:szCs w:val="24"/>
          <w:lang/>
        </w:rPr>
        <w:t>...///2.-</w:t>
      </w: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Art.2</w:t>
      </w:r>
      <w:r>
        <w:rPr>
          <w:b w:val="1"/>
          <w:bCs w:val="1"/>
          <w:sz w:val="24"/>
          <w:szCs w:val="24"/>
          <w:lang/>
        </w:rPr>
        <w:t>:</w:t>
      </w:r>
      <w:r>
        <w:rPr>
          <w:sz w:val="24"/>
          <w:szCs w:val="24"/>
          <w:lang/>
        </w:rPr>
        <w:t xml:space="preserve"> </w:t>
      </w:r>
      <w:r>
        <w:rPr>
          <w:b w:val="1"/>
          <w:bCs w:val="1"/>
          <w:sz w:val="24"/>
          <w:szCs w:val="24"/>
          <w:lang/>
        </w:rPr>
        <w:t xml:space="preserve">TRANSCURRIDO </w:t>
      </w:r>
      <w:r>
        <w:rPr>
          <w:sz w:val="24"/>
          <w:szCs w:val="24"/>
          <w:lang/>
        </w:rPr>
        <w:t>el período fijado en el Artículo precedente realizar un nuevo estudio socioeconómico y de persistir los motivos que fundamentan la presente Ordenanza, extender el beneficio otorgado por otros doce (12) meses.</w:t>
      </w:r>
    </w:p>
    <w:p>
      <w:pPr>
        <w:pStyle w:val="P5"/>
        <w:ind w:hanging="709" w:left="709"/>
        <w:jc w:val="both"/>
        <w:rPr>
          <w:sz w:val="24"/>
          <w:szCs w:val="24"/>
          <w:lang/>
        </w:rPr>
      </w:pPr>
    </w:p>
    <w:p>
      <w:pPr>
        <w:pStyle w:val="P5"/>
        <w:ind w:hanging="709" w:left="709"/>
        <w:jc w:val="both"/>
        <w:rPr>
          <w:sz w:val="24"/>
          <w:szCs w:val="24"/>
          <w:lang/>
        </w:rPr>
      </w:pPr>
      <w:r>
        <w:rPr>
          <w:b w:val="1"/>
          <w:bCs w:val="1"/>
          <w:sz w:val="24"/>
          <w:szCs w:val="24"/>
          <w:u w:val="single"/>
          <w:lang/>
        </w:rPr>
        <w:t>Art.3</w:t>
      </w:r>
      <w:r>
        <w:rPr>
          <w:b w:val="1"/>
          <w:bCs w:val="1"/>
          <w:sz w:val="24"/>
          <w:szCs w:val="24"/>
          <w:lang/>
        </w:rPr>
        <w:t xml:space="preserve">: </w:t>
      </w:r>
      <w:r>
        <w:rPr>
          <w:b w:val="1"/>
          <w:bCs w:val="1"/>
          <w:caps w:val="1"/>
          <w:sz w:val="24"/>
          <w:szCs w:val="24"/>
          <w:lang/>
        </w:rPr>
        <w:t>exÍmase</w:t>
      </w:r>
      <w:r>
        <w:rPr>
          <w:b w:val="1"/>
          <w:bCs w:val="1"/>
          <w:caps w:val="1"/>
          <w:sz w:val="24"/>
          <w:szCs w:val="24"/>
          <w:lang/>
        </w:rPr>
        <w:t xml:space="preserve"> </w:t>
      </w:r>
      <w:r>
        <w:rPr>
          <w:sz w:val="24"/>
          <w:szCs w:val="24"/>
          <w:lang/>
        </w:rPr>
        <w:t>una cuota de la deuda que posee por el mismo concepto por</w:t>
      </w:r>
      <w:r>
        <w:rPr>
          <w:b w:val="1"/>
          <w:bCs w:val="1"/>
          <w:sz w:val="24"/>
          <w:szCs w:val="24"/>
          <w:lang/>
        </w:rPr>
        <w:t xml:space="preserve"> </w:t>
      </w:r>
      <w:r>
        <w:rPr>
          <w:sz w:val="24"/>
          <w:szCs w:val="24"/>
          <w:lang/>
        </w:rPr>
        <w:t>cada cuota abonada en término.</w:t>
      </w:r>
    </w:p>
    <w:p>
      <w:pPr>
        <w:pStyle w:val="P5"/>
        <w:ind w:hanging="709" w:left="709"/>
        <w:jc w:val="both"/>
        <w:rPr>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xml:space="preserve">: EN </w:t>
      </w:r>
      <w:r>
        <w:rPr>
          <w:sz w:val="24"/>
          <w:szCs w:val="24"/>
          <w:lang/>
        </w:rPr>
        <w:t>caso de mora en 3 cuotas consecutivas o alternadas de la tasa actual o en caso de venta, transferencia o cambio de titularidad del inmueble, el beneficio otorgado caducará automáticamente.</w:t>
      </w:r>
    </w:p>
    <w:p>
      <w:pPr>
        <w:pStyle w:val="P5"/>
        <w:ind w:hanging="709" w:left="709"/>
        <w:jc w:val="both"/>
        <w:rPr>
          <w:b w:val="1"/>
          <w:bCs w:val="1"/>
          <w:sz w:val="24"/>
          <w:szCs w:val="24"/>
          <w:lang/>
        </w:rPr>
      </w:pPr>
    </w:p>
    <w:p>
      <w:pPr>
        <w:pStyle w:val="P5"/>
        <w:ind w:hanging="709" w:left="709"/>
        <w:jc w:val="both"/>
        <w:rPr>
          <w:b w:val="1"/>
          <w:bCs w:val="1"/>
          <w:sz w:val="24"/>
          <w:szCs w:val="24"/>
          <w:u w:val="single"/>
          <w:lang/>
        </w:rPr>
      </w:pPr>
      <w:r>
        <w:rPr>
          <w:b w:val="1"/>
          <w:bCs w:val="1"/>
          <w:sz w:val="24"/>
          <w:szCs w:val="24"/>
          <w:u w:val="single"/>
          <w:lang/>
        </w:rPr>
        <w:t>Art.5</w:t>
      </w:r>
      <w:r>
        <w:rPr>
          <w:b w:val="1"/>
          <w:bCs w:val="1"/>
          <w:sz w:val="24"/>
          <w:szCs w:val="24"/>
          <w:lang/>
        </w:rPr>
        <w:t xml:space="preserve">: </w:t>
      </w:r>
      <w:r>
        <w:rPr>
          <w:b w:val="1"/>
          <w:bCs w:val="1"/>
          <w:sz w:val="24"/>
          <w:szCs w:val="24"/>
        </w:rPr>
        <w:t>SOLICITASE</w:t>
      </w:r>
      <w:r>
        <w:rPr>
          <w:sz w:val="24"/>
          <w:szCs w:val="24"/>
        </w:rPr>
        <w:t xml:space="preserve"> al Sr. Intendente que interceda ante el procurador actuante a fin de dejar sin efecto juicio y honorarios devengados.</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Art.6</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CUATRO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2026-07-09T18:52:04Z</dcterms:created>
  <cp:lastModifiedBy>Federico Parisi</cp:lastModifiedBy>
  <cp:lastPrinted>2007-10-02T14:43:00Z</cp:lastPrinted>
  <dcterms:modified xsi:type="dcterms:W3CDTF">2026-07-09T18:52:04Z</dcterms:modified>
  <cp:revision>2</cp:revision>
  <dc:title>P R O Y E C T O   D E   O R D E N A N Z A</dc:title>
</cp:coreProperties>
</file>