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7849</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Vistos: El Expediente Nº 1932/02 y la Ordenanza Nº 7425;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por Ordenanza Nº 7405, se le otorgó el beneficio de la Ordenanza Nº 5485, con cuotas mensuales de $5, a la Sra. Sanrame, Susana;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Sra. Sanrame, en nota del 21 de Marzo de 2007, expone su situación, la que no ha variado de acuerdo a los informes que originaron el beneficio otorgado;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Sra. Sanrame, Susana se presentó ante esta Comisión para dialogar con los miembros de la misma y solicitó la continuación del beneficio otorgado por Ordenanza Nº 7405;</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04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FÍJASE</w:t>
      </w:r>
      <w:r>
        <w:rPr>
          <w:rFonts w:ascii="Courier New" w:hAnsi="Courier New"/>
        </w:rPr>
        <w:t xml:space="preserve"> una cuota mensual de Pesos Cinco ($5.-) en concepto de Tasa por Servicios a la Propiedad a la Designación Catastral N° 3-01-913-007-000 a partir de la promulgación de la presente y hasta Diciembre de 2008 inclusive. </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caps w:val="1"/>
        </w:rPr>
        <w:t>exímase</w:t>
      </w:r>
      <w:r>
        <w:rPr>
          <w:rFonts w:ascii="Courier New" w:hAnsi="Courier New"/>
          <w:b w:val="1"/>
          <w:bCs w:val="1"/>
        </w:rPr>
        <w:t xml:space="preserve"> </w:t>
      </w:r>
      <w:r>
        <w:rPr>
          <w:rFonts w:ascii="Courier New" w:hAnsi="Courier New"/>
        </w:rPr>
        <w:t>por cada seis (6) cuotas de Tasa por Servicios a la Propiedad de la designación catastral ut supra mencionada abonadas en término, igual cantidad de cuotas de la deuda que registra por el mismo concepto.</w:t>
      </w:r>
    </w:p>
    <w:p>
      <w:pPr>
        <w:pStyle w:val="P4"/>
        <w:ind w:hanging="709" w:left="709"/>
        <w:jc w:val="right"/>
        <w:outlineLvl w:val="0"/>
        <w:rPr>
          <w:rFonts w:ascii="Courier New" w:hAnsi="Courier New"/>
        </w:rPr>
      </w:pPr>
      <w:r>
        <w:rPr>
          <w:rFonts w:ascii="Courier New" w:hAnsi="Courier New"/>
        </w:rPr>
        <w:t>...///</w:t>
      </w: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r>
        <w:rPr>
          <w:sz w:val="24"/>
          <w:szCs w:val="24"/>
          <w:lang/>
        </w:rPr>
        <w:t>...///2.-</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Art.3</w:t>
      </w:r>
      <w:r>
        <w:rPr>
          <w:b w:val="1"/>
          <w:bCs w:val="1"/>
          <w:sz w:val="24"/>
          <w:szCs w:val="24"/>
          <w:lang/>
        </w:rPr>
        <w:t xml:space="preserve">: EN </w:t>
      </w:r>
      <w:r>
        <w:rPr>
          <w:sz w:val="24"/>
          <w:szCs w:val="24"/>
          <w:lang/>
        </w:rPr>
        <w:t>caso de cambio de titularidad o transferencia del inmueble o cancelación total de la deuda, los beneficios otorgados caducarán automáticamente.</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CUATRO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2026-07-09T18:51:46Z</dcterms:created>
  <cp:lastModifiedBy>Federico Parisi</cp:lastModifiedBy>
  <cp:lastPrinted>2007-10-12T13:05:00Z</cp:lastPrinted>
  <dcterms:modified xsi:type="dcterms:W3CDTF">2026-07-09T18:51:46Z</dcterms:modified>
  <cp:revision>2</cp:revision>
  <dc:title>P R O Y E C T O   D E   O R D E N A N Z A</dc:title>
</cp:coreProperties>
</file>