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3"/>
      </w:pPr>
      <w:r>
        <w:t>ORDENANZA N° 7852</w:t>
      </w:r>
    </w:p>
    <w:p>
      <w:pPr>
        <w:jc w:val="both"/>
        <w:rPr>
          <w:rFonts w:ascii="Courier New" w:hAnsi="Courier New"/>
          <w:b w:val="1"/>
          <w:bCs w:val="1"/>
          <w:lang/>
        </w:rPr>
      </w:pPr>
    </w:p>
    <w:p>
      <w:pPr>
        <w:ind w:hanging="709" w:left="709"/>
        <w:jc w:val="both"/>
        <w:rPr>
          <w:rFonts w:ascii="Courier New" w:hAnsi="Courier New"/>
          <w:b w:val="1"/>
          <w:bCs w:val="1"/>
          <w:lang/>
        </w:rPr>
      </w:pPr>
    </w:p>
    <w:p>
      <w:pPr>
        <w:ind w:hanging="709" w:left="709"/>
        <w:jc w:val="both"/>
        <w:rPr>
          <w:rFonts w:ascii="Courier New" w:hAnsi="Courier New"/>
          <w:b w:val="1"/>
          <w:bCs w:val="1"/>
          <w:lang/>
        </w:rPr>
      </w:pPr>
    </w:p>
    <w:p>
      <w:pPr>
        <w:ind w:hanging="709" w:left="709"/>
        <w:jc w:val="both"/>
        <w:rPr>
          <w:rFonts w:ascii="Courier New" w:hAnsi="Courier New"/>
          <w:b w:val="1"/>
          <w:bCs w:val="1"/>
          <w:lang/>
        </w:rPr>
      </w:pPr>
      <w:r>
        <w:rPr>
          <w:rFonts w:ascii="Courier New" w:hAnsi="Courier New"/>
          <w:b w:val="0"/>
          <w:bCs w:val="0"/>
          <w:lang/>
        </w:rPr>
        <w:t xml:space="preserve">Visto: El Expediente N° 369/05 iniciado por el Sr. Cataldo, Daniel, solicitando la donación de lote; y </w:t>
      </w:r>
    </w:p>
    <w:p>
      <w:pPr>
        <w:jc w:val="both"/>
        <w:rPr>
          <w:rFonts w:ascii="Courier New" w:hAnsi="Courier New"/>
          <w:b w:val="1"/>
          <w:bCs w:val="1"/>
          <w:lang/>
        </w:rPr>
      </w:pPr>
    </w:p>
    <w:p>
      <w:pPr>
        <w:jc w:val="both"/>
        <w:rPr>
          <w:rFonts w:ascii="Courier New" w:hAnsi="Courier New"/>
          <w:b w:val="1"/>
          <w:bCs w:val="1"/>
          <w:lang/>
        </w:rPr>
      </w:pPr>
    </w:p>
    <w:p>
      <w:pPr>
        <w:jc w:val="center"/>
        <w:rPr>
          <w:rFonts w:ascii="Courier New" w:hAnsi="Courier New"/>
          <w:lang/>
        </w:rPr>
      </w:pPr>
      <w:r>
        <w:rPr>
          <w:rFonts w:ascii="Courier New" w:hAnsi="Courier New"/>
          <w:lang/>
        </w:rPr>
        <w:t>C O N S I D E R A N D O</w:t>
      </w:r>
    </w:p>
    <w:p>
      <w:pPr>
        <w:jc w:val="both"/>
        <w:rPr>
          <w:rFonts w:ascii="Courier New" w:hAnsi="Courier New"/>
          <w:b w:val="1"/>
          <w:bCs w:val="1"/>
          <w:lang/>
        </w:rPr>
      </w:pPr>
    </w:p>
    <w:p>
      <w:pPr>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el solicitante reúne todos los requisitos para ser beneficiario de donación de lote, según consta a Fs. 3 y 5 respectivamente;</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de acuerdo al relevamiento efectuado por la Dirección de Vivienda a Fs. 7, en el lote 16 de la Mz. Of. 37 Desig. Cat. 3-1-292-16, solicitado por el Sr. Cataldo, se encuentra una construcción de su autoría, que consta de un dormitorio y un baño sin terminar;</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de acuerdo al informe de Catastro a Fs. 5, el referido lote fue otorgado en comodato a APyDA, mediante Ordenanza Nº 6434;</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de acuerdo al informe obrante a Fs. 9 vuelta, la Dirección de Salud Pública comunica que APyDA, no desempeña actividad alguna convenida con el Municipio desde Febrero de 2005;</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el grupo familiar del Sr. Cataldo necesita imperiosamente que se regularice su situación a fin de acceder a servicios que le posibiliten vivir más dignamente;</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la posesión de dicho lote por parte del Sr. Rey y su grupo familiar data del año 2001, según declaración jurada a Fs. 7 y 8 respectivamente;</w:t>
      </w:r>
    </w:p>
    <w:p>
      <w:pPr>
        <w:ind w:left="709"/>
        <w:jc w:val="both"/>
        <w:rPr>
          <w:rFonts w:ascii="Courier New" w:hAnsi="Courier New"/>
          <w:b w:val="1"/>
          <w:bCs w:val="1"/>
          <w:lang/>
        </w:rPr>
      </w:pPr>
    </w:p>
    <w:p>
      <w:pPr>
        <w:ind w:left="709"/>
        <w:jc w:val="both"/>
        <w:rPr>
          <w:rFonts w:ascii="Courier New" w:hAnsi="Courier New"/>
          <w:b w:val="1"/>
          <w:bCs w:val="1"/>
          <w:lang/>
        </w:rPr>
      </w:pPr>
      <w:r>
        <w:rPr>
          <w:rFonts w:ascii="Courier New" w:hAnsi="Courier New"/>
          <w:b w:val="0"/>
          <w:bCs w:val="0"/>
          <w:lang/>
        </w:rPr>
        <w:t>Que evaluado el contenido del Expediente de referencia por la Comisión de Legislación General, la misma emite despacho accediendo a lo solicitado en el marco de las Ordenanzas vigentes, despacho aprobado por unanimidad en Sesión Ordinaria de fecha 04 de Octubre de 2007.</w:t>
      </w:r>
    </w:p>
    <w:p>
      <w:pPr>
        <w:jc w:val="right"/>
        <w:rPr>
          <w:rFonts w:ascii="Courier New" w:hAnsi="Courier New"/>
          <w:b w:val="1"/>
          <w:bCs w:val="1"/>
          <w:lang/>
        </w:rPr>
      </w:pPr>
      <w:r>
        <w:rPr>
          <w:rFonts w:ascii="Courier New" w:hAnsi="Courier New"/>
          <w:b w:val="0"/>
          <w:bCs w:val="0"/>
          <w:lang/>
        </w:rPr>
        <w:t>...///</w:t>
      </w:r>
    </w:p>
    <w:p>
      <w:pPr>
        <w:jc w:val="both"/>
        <w:rPr>
          <w:rFonts w:ascii="Courier New" w:hAnsi="Courier New"/>
          <w:b w:val="1"/>
          <w:bCs w:val="1"/>
          <w:lang/>
        </w:rPr>
      </w:pPr>
    </w:p>
    <w:p>
      <w:pPr>
        <w:jc w:val="center"/>
        <w:rPr>
          <w:rFonts w:ascii="Courier New" w:hAnsi="Courier New"/>
          <w:lang/>
        </w:rPr>
      </w:pPr>
      <w:r>
        <w:rPr>
          <w:rFonts w:ascii="Courier New" w:hAnsi="Courier New"/>
          <w:lang/>
        </w:rPr>
        <w:t xml:space="preserve">    </w:t>
      </w:r>
    </w:p>
    <w:p>
      <w:pPr>
        <w:jc w:val="center"/>
        <w:rPr>
          <w:rFonts w:ascii="Courier New" w:hAnsi="Courier New"/>
          <w:lang/>
        </w:rPr>
      </w:pPr>
    </w:p>
    <w:p>
      <w:pPr>
        <w:jc w:val="center"/>
        <w:rPr>
          <w:rFonts w:ascii="Courier New" w:hAnsi="Courier New"/>
          <w:lang/>
        </w:rPr>
      </w:pPr>
    </w:p>
    <w:p>
      <w:pPr>
        <w:jc w:val="center"/>
        <w:rPr>
          <w:rFonts w:ascii="Courier New" w:hAnsi="Courier New"/>
          <w:lang/>
        </w:rPr>
      </w:pPr>
    </w:p>
    <w:p>
      <w:pPr>
        <w:rPr>
          <w:rFonts w:ascii="Courier New" w:hAnsi="Courier New"/>
          <w:b w:val="1"/>
          <w:bCs w:val="1"/>
          <w:lang/>
        </w:rPr>
      </w:pPr>
    </w:p>
    <w:p>
      <w:pPr>
        <w:rPr>
          <w:rFonts w:ascii="Courier New" w:hAnsi="Courier New"/>
          <w:b w:val="1"/>
          <w:bCs w:val="1"/>
          <w:lang/>
        </w:rPr>
      </w:pPr>
    </w:p>
    <w:p>
      <w:pPr>
        <w:rPr>
          <w:rFonts w:ascii="Courier New" w:hAnsi="Courier New"/>
          <w:b w:val="1"/>
          <w:bCs w:val="1"/>
          <w:lang/>
        </w:rPr>
      </w:pPr>
    </w:p>
    <w:p>
      <w:pPr>
        <w:rPr>
          <w:rFonts w:ascii="Courier New" w:hAnsi="Courier New"/>
          <w:b w:val="1"/>
          <w:bCs w:val="1"/>
          <w:lang/>
        </w:rPr>
      </w:pPr>
      <w:r>
        <w:rPr>
          <w:rFonts w:ascii="Courier New" w:hAnsi="Courier New"/>
          <w:b w:val="0"/>
          <w:bCs w:val="0"/>
          <w:lang/>
        </w:rPr>
        <w:t>...///2.-</w:t>
      </w:r>
    </w:p>
    <w:p>
      <w:pPr>
        <w:jc w:val="center"/>
        <w:rPr>
          <w:rFonts w:ascii="Courier New" w:hAnsi="Courier New"/>
          <w:lang/>
        </w:rPr>
      </w:pPr>
    </w:p>
    <w:p>
      <w:pPr>
        <w:jc w:val="center"/>
        <w:rPr>
          <w:rFonts w:ascii="Courier New" w:hAnsi="Courier New"/>
          <w:lang/>
        </w:rPr>
      </w:pPr>
    </w:p>
    <w:p>
      <w:pPr>
        <w:jc w:val="center"/>
        <w:rPr>
          <w:rFonts w:ascii="Courier New" w:hAnsi="Courier New"/>
          <w:lang/>
        </w:rPr>
      </w:pPr>
      <w:r>
        <w:rPr>
          <w:rFonts w:ascii="Courier New" w:hAnsi="Courier New"/>
          <w:lang/>
        </w:rPr>
        <w:t xml:space="preserve"> EL HONORABLE CONCEJO DELIBERANTE DE LA CIUDAD DE</w:t>
      </w:r>
    </w:p>
    <w:p>
      <w:pPr>
        <w:rPr>
          <w:rFonts w:ascii="Courier New" w:hAnsi="Courier New"/>
          <w:lang/>
        </w:rPr>
      </w:pPr>
    </w:p>
    <w:p>
      <w:pPr>
        <w:jc w:val="center"/>
        <w:rPr>
          <w:rFonts w:ascii="Courier New" w:hAnsi="Courier New"/>
          <w:lang/>
        </w:rPr>
      </w:pPr>
    </w:p>
    <w:p>
      <w:pPr>
        <w:ind w:firstLine="708" w:left="708"/>
        <w:rPr>
          <w:rFonts w:ascii="Courier New" w:hAnsi="Courier New"/>
          <w:lang/>
        </w:rPr>
      </w:pPr>
      <w:r>
        <w:rPr>
          <w:rFonts w:ascii="Courier New" w:hAnsi="Courier New"/>
          <w:lang/>
        </w:rPr>
        <w:t xml:space="preserve"> ALTA GRACIA SANCIONA CON FUERZA DE ORDENANZA</w:t>
      </w:r>
    </w:p>
    <w:p>
      <w:pPr>
        <w:ind w:hanging="709" w:left="709"/>
        <w:jc w:val="both"/>
        <w:rPr>
          <w:rFonts w:ascii="Courier New" w:hAnsi="Courier New"/>
          <w:b w:val="1"/>
          <w:bCs w:val="1"/>
          <w:lang/>
        </w:rPr>
      </w:pPr>
    </w:p>
    <w:p>
      <w:pPr>
        <w:ind w:hanging="709" w:left="709"/>
        <w:jc w:val="both"/>
        <w:rPr>
          <w:rFonts w:ascii="Courier New" w:hAnsi="Courier New"/>
          <w:u w:val="single"/>
          <w:lang/>
        </w:rPr>
      </w:pPr>
    </w:p>
    <w:p>
      <w:pPr>
        <w:ind w:hanging="709" w:left="709"/>
        <w:jc w:val="both"/>
        <w:rPr>
          <w:rFonts w:ascii="Courier New" w:hAnsi="Courier New"/>
          <w:u w:val="single"/>
          <w:lang/>
        </w:rPr>
      </w:pPr>
    </w:p>
    <w:p>
      <w:pPr>
        <w:ind w:hanging="709" w:left="709"/>
        <w:jc w:val="both"/>
        <w:rPr>
          <w:rFonts w:ascii="Courier New" w:hAnsi="Courier New"/>
          <w:b w:val="1"/>
          <w:bCs w:val="1"/>
          <w:lang/>
        </w:rPr>
      </w:pPr>
      <w:r>
        <w:rPr>
          <w:rFonts w:ascii="Courier New" w:hAnsi="Courier New"/>
          <w:u w:val="single"/>
          <w:lang/>
        </w:rPr>
        <w:t>Art.1</w:t>
      </w:r>
      <w:r>
        <w:rPr>
          <w:rFonts w:ascii="Courier New" w:hAnsi="Courier New"/>
          <w:lang/>
        </w:rPr>
        <w:t xml:space="preserve">: DERÓGASE </w:t>
      </w:r>
      <w:r>
        <w:rPr>
          <w:rFonts w:ascii="Courier New" w:hAnsi="Courier New"/>
          <w:b w:val="0"/>
          <w:bCs w:val="0"/>
          <w:lang/>
        </w:rPr>
        <w:t>la Ordenanza Nº 6434.</w:t>
      </w:r>
    </w:p>
    <w:p>
      <w:pPr>
        <w:ind w:hanging="709" w:left="709"/>
        <w:jc w:val="both"/>
        <w:rPr>
          <w:rFonts w:ascii="Courier New" w:hAnsi="Courier New"/>
          <w:u w:val="single"/>
          <w:lang/>
        </w:rPr>
      </w:pPr>
    </w:p>
    <w:p>
      <w:pPr>
        <w:ind w:hanging="709" w:left="709"/>
        <w:jc w:val="both"/>
        <w:rPr>
          <w:rFonts w:ascii="Courier New" w:hAnsi="Courier New"/>
          <w:b w:val="1"/>
          <w:bCs w:val="1"/>
          <w:lang/>
        </w:rPr>
      </w:pPr>
      <w:r>
        <w:rPr>
          <w:rFonts w:ascii="Courier New" w:hAnsi="Courier New"/>
          <w:u w:val="single"/>
          <w:lang/>
        </w:rPr>
        <w:t>Art.2</w:t>
      </w:r>
      <w:r>
        <w:rPr>
          <w:rFonts w:ascii="Courier New" w:hAnsi="Courier New"/>
          <w:lang/>
        </w:rPr>
        <w:t xml:space="preserve">: OTÓRGASE </w:t>
      </w:r>
      <w:r>
        <w:rPr>
          <w:rFonts w:ascii="Courier New" w:hAnsi="Courier New"/>
          <w:b w:val="0"/>
          <w:bCs w:val="0"/>
          <w:lang/>
        </w:rPr>
        <w:t>en donación el lote 16 de la Mz. Of. 37, Designación Catastral 03-01-292-016-000, de Barrio Parque San Juan, al Sr. Cataldo, Daniel D.N.I Nº 25.091.692, domiciliado en Calle 14 Esq. 17 de Barrio Parque San Juan.</w:t>
      </w:r>
    </w:p>
    <w:p>
      <w:pPr>
        <w:ind w:hanging="709" w:left="709"/>
        <w:rPr>
          <w:rFonts w:ascii="Courier New" w:hAnsi="Courier New"/>
          <w:b w:val="1"/>
          <w:bCs w:val="1"/>
          <w:lang/>
        </w:rPr>
      </w:pPr>
    </w:p>
    <w:p>
      <w:pPr>
        <w:ind w:hanging="709" w:left="709"/>
        <w:jc w:val="both"/>
        <w:rPr>
          <w:rFonts w:ascii="Courier New" w:hAnsi="Courier New"/>
        </w:rPr>
      </w:pPr>
      <w:r>
        <w:rPr>
          <w:rFonts w:ascii="Courier New" w:hAnsi="Courier New"/>
          <w:u w:val="single"/>
        </w:rPr>
        <w:t>Art.3</w:t>
      </w:r>
      <w:r>
        <w:rPr>
          <w:rFonts w:ascii="Courier New" w:hAnsi="Courier New"/>
        </w:rPr>
        <w:t>: EL</w:t>
      </w:r>
      <w:r>
        <w:rPr>
          <w:rFonts w:ascii="Courier New" w:hAnsi="Courier New"/>
          <w:b w:val="0"/>
          <w:bCs w:val="0"/>
        </w:rPr>
        <w:t xml:space="preserve"> beneficiario debe edificar en un plazo máximo de dieciocho (18) meses a partir de la promulgación de la presente Ordenanza, según el plano aprobado por las oficinas técnicas correspondientes.</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Art.4</w:t>
      </w:r>
      <w:r>
        <w:rPr>
          <w:rFonts w:ascii="Courier New" w:hAnsi="Courier New"/>
        </w:rPr>
        <w:t>: LA</w:t>
      </w:r>
      <w:r>
        <w:rPr>
          <w:rFonts w:ascii="Courier New" w:hAnsi="Courier New"/>
          <w:b w:val="0"/>
          <w:bCs w:val="0"/>
        </w:rPr>
        <w:t xml:space="preserve"> donación dispuesta en la presente Ordenanza tiene el carácter de intransferible y caducará  de pleno derecho si no se cumplimenta lo prescripto en el Artículo anterior, debiendo el beneficiario restituir el inmueble a la Municipalidad de Alta Gracia y sólo podrá solicitar prórroga para construir si tiene las tasas al día.</w:t>
      </w:r>
    </w:p>
    <w:p>
      <w:pPr>
        <w:ind w:hanging="709" w:left="709"/>
        <w:jc w:val="both"/>
        <w:rPr>
          <w:rFonts w:ascii="Courier New" w:hAnsi="Courier New"/>
          <w:b w:val="1"/>
          <w:bCs w:val="1"/>
        </w:rPr>
      </w:pPr>
    </w:p>
    <w:p>
      <w:pPr>
        <w:ind w:hanging="709" w:left="709"/>
        <w:jc w:val="both"/>
        <w:rPr>
          <w:rFonts w:ascii="Courier New" w:hAnsi="Courier New"/>
          <w:b w:val="1"/>
          <w:bCs w:val="1"/>
        </w:rPr>
      </w:pPr>
      <w:r>
        <w:rPr>
          <w:rFonts w:ascii="Courier New" w:hAnsi="Courier New"/>
          <w:u w:val="single"/>
        </w:rPr>
        <w:t>Art.5</w:t>
      </w:r>
      <w:r>
        <w:rPr>
          <w:rFonts w:ascii="Courier New" w:hAnsi="Courier New"/>
        </w:rPr>
        <w:t>: LA</w:t>
      </w:r>
      <w:r>
        <w:rPr>
          <w:rFonts w:ascii="Courier New" w:hAnsi="Courier New"/>
          <w:b w:val="0"/>
          <w:bCs w:val="0"/>
        </w:rPr>
        <w:t xml:space="preserve"> presente donación es con cargo, debiendo el beneficiario abonar en su totalidad las cargas tributarias que gravan el inmueble, las  contribuciones  por mejoras, desde la fecha de la donación y los gastos de transferencia de dominio. En el supuesto de incumplimiento de esta obligación, la Municipalidad no se hará  cargo en ningún caso de las erogaciones que deban pagar el beneficiario de acuerdo al presente artículo, debiendo abonar y mantener al día desde la fecha de la presente, la Tasa por Servicios a la Propiedad.</w:t>
      </w:r>
    </w:p>
    <w:p>
      <w:pPr>
        <w:ind w:hanging="709" w:left="709"/>
        <w:jc w:val="both"/>
        <w:rPr>
          <w:rFonts w:ascii="Courier New" w:hAnsi="Courier New"/>
          <w:u w:val="single"/>
        </w:rPr>
      </w:pPr>
    </w:p>
    <w:p>
      <w:pPr>
        <w:ind w:hanging="709" w:left="709"/>
        <w:jc w:val="right"/>
        <w:rPr>
          <w:rFonts w:ascii="Courier New" w:hAnsi="Courier New"/>
          <w:b w:val="1"/>
          <w:bCs w:val="1"/>
        </w:rPr>
      </w:pPr>
      <w:r>
        <w:rPr>
          <w:rFonts w:ascii="Courier New" w:hAnsi="Courier New"/>
          <w:b w:val="0"/>
          <w:bCs w:val="0"/>
        </w:rPr>
        <w:t>...///</w:t>
      </w:r>
    </w:p>
    <w:p>
      <w:pPr>
        <w:ind w:hanging="709" w:left="709"/>
        <w:jc w:val="both"/>
        <w:rPr>
          <w:rFonts w:ascii="Courier New" w:hAnsi="Courier New"/>
          <w:u w:val="single"/>
        </w:rPr>
      </w:pPr>
    </w:p>
    <w:p>
      <w:pPr>
        <w:ind w:hanging="709" w:left="709"/>
        <w:jc w:val="both"/>
        <w:rPr>
          <w:rFonts w:ascii="Courier New" w:hAnsi="Courier New"/>
          <w:u w:val="single"/>
        </w:rPr>
      </w:pPr>
    </w:p>
    <w:p>
      <w:pPr>
        <w:ind w:hanging="709" w:left="709"/>
        <w:jc w:val="both"/>
        <w:rPr>
          <w:rFonts w:ascii="Courier New" w:hAnsi="Courier New"/>
          <w:u w:val="single"/>
        </w:rPr>
      </w:pPr>
    </w:p>
    <w:p>
      <w:pPr>
        <w:ind w:hanging="709" w:left="709"/>
        <w:jc w:val="both"/>
        <w:rPr>
          <w:rFonts w:ascii="Courier New" w:hAnsi="Courier New"/>
          <w:u w:val="single"/>
        </w:rPr>
      </w:pPr>
    </w:p>
    <w:p>
      <w:pPr>
        <w:ind w:hanging="709" w:left="709"/>
        <w:jc w:val="both"/>
        <w:rPr>
          <w:rFonts w:ascii="Courier New" w:hAnsi="Courier New"/>
          <w:u w:val="single"/>
        </w:rPr>
      </w:pPr>
    </w:p>
    <w:p>
      <w:pPr>
        <w:ind w:hanging="709" w:left="709"/>
        <w:jc w:val="both"/>
        <w:rPr>
          <w:rFonts w:ascii="Courier New" w:hAnsi="Courier New"/>
          <w:u w:val="single"/>
        </w:rPr>
      </w:pPr>
    </w:p>
    <w:p>
      <w:pPr>
        <w:ind w:hanging="709" w:left="709"/>
        <w:jc w:val="both"/>
        <w:rPr>
          <w:rFonts w:ascii="Courier New" w:hAnsi="Courier New"/>
          <w:b w:val="1"/>
          <w:bCs w:val="1"/>
        </w:rPr>
      </w:pPr>
      <w:r>
        <w:rPr>
          <w:rFonts w:ascii="Courier New" w:hAnsi="Courier New"/>
          <w:b w:val="0"/>
          <w:bCs w:val="0"/>
        </w:rPr>
        <w:t>...///3.-</w:t>
      </w:r>
    </w:p>
    <w:p>
      <w:pPr>
        <w:ind w:hanging="709" w:left="709"/>
        <w:jc w:val="both"/>
        <w:rPr>
          <w:rFonts w:ascii="Courier New" w:hAnsi="Courier New"/>
          <w:u w:val="single"/>
        </w:rPr>
      </w:pPr>
    </w:p>
    <w:p>
      <w:pPr>
        <w:ind w:hanging="709" w:left="709"/>
        <w:jc w:val="both"/>
        <w:rPr>
          <w:rFonts w:ascii="Courier New" w:hAnsi="Courier New"/>
        </w:rPr>
      </w:pPr>
      <w:r>
        <w:rPr>
          <w:rFonts w:ascii="Courier New" w:hAnsi="Courier New"/>
          <w:u w:val="single"/>
        </w:rPr>
        <w:t>Art.6</w:t>
      </w:r>
      <w:r>
        <w:rPr>
          <w:rFonts w:ascii="Courier New" w:hAnsi="Courier New"/>
        </w:rPr>
        <w:t>: EL</w:t>
      </w:r>
      <w:r>
        <w:rPr>
          <w:rFonts w:ascii="Courier New" w:hAnsi="Courier New"/>
          <w:b w:val="0"/>
          <w:bCs w:val="0"/>
        </w:rPr>
        <w:t xml:space="preserve"> lote donado debe ser destinado exclusivamente a vivienda familiar del beneficiario y su grupo familiar, siendo intransferible por el término de diez (10) años.</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Art.7</w:t>
      </w:r>
      <w:r>
        <w:rPr>
          <w:rFonts w:ascii="Courier New" w:hAnsi="Courier New"/>
        </w:rPr>
        <w:t>: LA</w:t>
      </w:r>
      <w:r>
        <w:rPr>
          <w:rFonts w:ascii="Courier New" w:hAnsi="Courier New"/>
          <w:b w:val="0"/>
          <w:bCs w:val="0"/>
        </w:rPr>
        <w:t xml:space="preserve"> presente Ordenanza es título hábil de posesión hasta tanto el Departamento Ejecutivo otorgue la correspondiente escritura traslativa de dominio.</w:t>
      </w:r>
    </w:p>
    <w:p>
      <w:pPr>
        <w:ind w:hanging="709" w:left="709"/>
        <w:jc w:val="both"/>
        <w:rPr>
          <w:rFonts w:ascii="Courier New" w:hAnsi="Courier New"/>
          <w:u w:val="single"/>
        </w:rPr>
      </w:pPr>
    </w:p>
    <w:p>
      <w:pPr>
        <w:ind w:hanging="709" w:left="709"/>
        <w:jc w:val="both"/>
        <w:rPr>
          <w:rFonts w:ascii="Courier New" w:hAnsi="Courier New"/>
          <w:b w:val="1"/>
          <w:bCs w:val="1"/>
        </w:rPr>
      </w:pPr>
      <w:r>
        <w:rPr>
          <w:rFonts w:ascii="Courier New" w:hAnsi="Courier New"/>
          <w:u w:val="single"/>
        </w:rPr>
        <w:t>Art.8</w:t>
      </w:r>
      <w:r>
        <w:rPr>
          <w:rFonts w:ascii="Courier New" w:hAnsi="Courier New"/>
        </w:rPr>
        <w:t>:</w:t>
      </w:r>
      <w:r>
        <w:rPr>
          <w:b w:val="0"/>
          <w:bCs w:val="0"/>
        </w:rPr>
        <w:t xml:space="preserve"> </w:t>
      </w:r>
      <w:r>
        <w:rPr>
          <w:rFonts w:ascii="Courier New" w:hAnsi="Courier New"/>
        </w:rPr>
        <w:t>AUTORÍZASE</w:t>
      </w:r>
      <w:r>
        <w:rPr>
          <w:rFonts w:ascii="Courier New" w:hAnsi="Courier New"/>
          <w:b w:val="0"/>
          <w:bCs w:val="0"/>
        </w:rPr>
        <w:t xml:space="preserve"> al Departamento Ejecutivo a suscribir la correspondiente escritura traslativa de dominio, la que se otorgará  de acuerdo con el dictamen final que a ese efecto emita el área correspondiente, previa supervisión, constatación e informe suministrado por el Área Municipal de la Vivienda y previa verificación de que posee las tasas al día, siendo los gastos a cargo del beneficiario.</w:t>
      </w:r>
    </w:p>
    <w:p>
      <w:pPr>
        <w:ind w:hanging="709" w:left="709"/>
        <w:jc w:val="both"/>
        <w:rPr>
          <w:rFonts w:ascii="Courier New" w:hAnsi="Courier New"/>
          <w:u w:val="single"/>
        </w:rPr>
      </w:pPr>
    </w:p>
    <w:p>
      <w:pPr>
        <w:ind w:hanging="709" w:left="709"/>
        <w:jc w:val="both"/>
        <w:rPr>
          <w:rFonts w:ascii="Courier New" w:hAnsi="Courier New"/>
        </w:rPr>
      </w:pPr>
      <w:r>
        <w:rPr>
          <w:rFonts w:ascii="Courier New" w:hAnsi="Courier New"/>
          <w:u w:val="single"/>
        </w:rPr>
        <w:t>Art.9</w:t>
      </w:r>
      <w:r>
        <w:rPr>
          <w:rFonts w:ascii="Courier New" w:hAnsi="Courier New"/>
        </w:rPr>
        <w:t xml:space="preserve">: EN </w:t>
      </w:r>
      <w:r>
        <w:rPr>
          <w:rFonts w:ascii="Courier New" w:hAnsi="Courier New"/>
          <w:b w:val="0"/>
          <w:bCs w:val="0"/>
        </w:rPr>
        <w:t>todos los casos el donatario debe, a través del área pertinente, dejar expresa constancia de la conformidad del acto y de la renuncia a posteriores reclamos judiciales al Municipio.</w:t>
      </w:r>
    </w:p>
    <w:p>
      <w:pPr>
        <w:ind w:hanging="709" w:left="709"/>
        <w:jc w:val="both"/>
        <w:rPr>
          <w:rFonts w:ascii="Courier New" w:hAnsi="Courier New"/>
        </w:rPr>
      </w:pPr>
    </w:p>
    <w:p>
      <w:pPr>
        <w:ind w:hanging="709" w:left="709"/>
        <w:jc w:val="both"/>
        <w:rPr>
          <w:rFonts w:ascii="Courier New" w:hAnsi="Courier New"/>
        </w:rPr>
      </w:pPr>
      <w:r>
        <w:rPr>
          <w:rFonts w:ascii="Courier New" w:hAnsi="Courier New"/>
          <w:u w:val="single"/>
        </w:rPr>
        <w:t>Art.10</w:t>
      </w:r>
      <w:r>
        <w:rPr>
          <w:rFonts w:ascii="Courier New" w:hAnsi="Courier New"/>
        </w:rPr>
        <w:t>: PROTOCOLÍCESE</w:t>
      </w:r>
      <w:r>
        <w:rPr>
          <w:rFonts w:ascii="Courier New" w:hAnsi="Courier New"/>
          <w:b w:val="0"/>
          <w:bCs w:val="0"/>
        </w:rPr>
        <w:t>, comuníquese, publíquese en el Boletín Oficial de la Ciudad de Alta Gracia, transcríbase al Libro de Ordenanzas y archívese.</w:t>
      </w:r>
    </w:p>
    <w:p>
      <w:pPr>
        <w:jc w:val="both"/>
        <w:rPr>
          <w:rFonts w:ascii="Courier New" w:hAnsi="Courier New"/>
          <w:b w:val="1"/>
          <w:bCs w:val="1"/>
          <w:lang/>
        </w:rPr>
      </w:pPr>
    </w:p>
    <w:p>
      <w:pPr>
        <w:jc w:val="both"/>
        <w:rPr>
          <w:rFonts w:ascii="Courier New" w:hAnsi="Courier New"/>
          <w:b w:val="1"/>
          <w:bCs w:val="1"/>
          <w:lang/>
        </w:rPr>
      </w:pPr>
    </w:p>
    <w:p>
      <w:pPr>
        <w:pStyle w:val="P2"/>
        <w:jc w:val="both"/>
        <w:rPr>
          <w:sz w:val="24"/>
          <w:szCs w:val="24"/>
        </w:rPr>
      </w:pPr>
      <w:r>
        <w:rPr>
          <w:sz w:val="24"/>
          <w:szCs w:val="24"/>
        </w:rPr>
        <w:t>DADA EN LA SALA DE SESIONES DEL HONORABLE CONCEJO DELIBERANTE A LOS CUATRO DÍAS DEL MES DE OCTUBRE DEL AÑO DOS MIL SIETE.</w:t>
      </w:r>
    </w:p>
    <w:p>
      <w:pPr>
        <w:jc w:val="both"/>
        <w:rPr>
          <w:rFonts w:ascii="Courier New" w:hAnsi="Courier New"/>
          <w:b w:val="1"/>
          <w:bCs w:val="1"/>
          <w:lang/>
        </w:rPr>
      </w:pP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doNotBreakConstrainedForcedTable/>
    <w:doNotVertAlignCellWithSp/>
    <w:footnoteLayoutLikeWW8/>
    <w:shapeLayoutLikeWW8/>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b w:val="1"/>
      <w:bCs w:val="1"/>
      <w:color w:val="000000"/>
      <w:sz w:val="24"/>
      <w:szCs w:val="24"/>
      <w:lang w:val="es-AR"/>
    </w:rPr>
  </w:style>
  <w:style w:type="paragraph" w:styleId="P1">
    <w:name w:val="Heading 1"/>
    <w:basedOn w:val="P0"/>
    <w:next w:val="P0"/>
    <w:pPr>
      <w:keepNext w:val="1"/>
      <w:jc w:val="center"/>
      <w:outlineLvl w:val="0"/>
    </w:pPr>
    <w:rPr>
      <w:rFonts w:ascii="Courier New" w:hAnsi="Courier New" w:cs="Courier New"/>
      <w:lang/>
    </w:rPr>
  </w:style>
  <w:style w:type="paragraph" w:styleId="P2">
    <w:name w:val="Plain Text"/>
    <w:basedOn w:val="P0"/>
    <w:next w:val="P2"/>
    <w:pPr/>
    <w:rPr>
      <w:rFonts w:ascii="Courier New" w:hAnsi="Courier New"/>
      <w:sz w:val="20"/>
      <w:szCs w:val="20"/>
      <w:lang/>
    </w:rPr>
  </w:style>
  <w:style w:type="paragraph" w:styleId="P3">
    <w:name w:val="Title"/>
    <w:basedOn w:val="P0"/>
    <w:next w:val="P3"/>
    <w:pPr>
      <w:jc w:val="center"/>
    </w:pPr>
    <w:rPr>
      <w:rFonts w:ascii="Courier New" w:hAnsi="Courier New"/>
      <w:u w:val="single"/>
      <w:lang/>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2026-07-09T18:51:23Z</dcterms:created>
  <cp:lastModifiedBy>Federico Parisi</cp:lastModifiedBy>
  <cp:lastPrinted>2007-10-30T14:20:00Z</cp:lastPrinted>
  <dcterms:modified xsi:type="dcterms:W3CDTF">2026-07-09T18:51:23Z</dcterms:modified>
  <cp:revision>2</cp:revision>
  <dc:title>Visto: El Expediente N§ 253/I/2000 iniciado por el Departa-</dc:title>
</cp:coreProperties>
</file>