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7853</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75/07;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cs="Courier New"/>
        </w:rPr>
      </w:pPr>
      <w:r>
        <w:rPr>
          <w:rFonts w:ascii="Courier New" w:hAnsi="Courier New" w:cs="Courier New"/>
        </w:rPr>
        <w:t xml:space="preserve">Que el mismo es </w:t>
      </w:r>
      <w:r>
        <w:rPr>
          <w:rFonts w:ascii="Courier New" w:hAnsi="Courier New" w:cs="Courier New"/>
          <w:lang w:val="es-MX"/>
        </w:rPr>
        <w:t xml:space="preserve">iniciado por la Sra. </w:t>
      </w:r>
      <w:r>
        <w:rPr>
          <w:rFonts w:ascii="Courier New" w:hAnsi="Courier New" w:cs="Courier New"/>
        </w:rPr>
        <w:t>Cevallos Escolástica, D.N.I. Nº 4.124.126 domiciliada en Prudencio Bustos 1253 Barrio Córdoba donde solicita eximición de los impuestos municipales;</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también solicita regularizar su deuda de gas;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Sección Catastro a Fs. 3 informa que el marido de la solicitante es titular de vivienda única no registrándose la Sra. Cevallos como titular de inmuebles;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el matrimonio posee un Plan de Pagos de 139 cuotas de las cuales habrían abonado sólo 22, siendo el mismo por la deuda de gas;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el estudio socioeconómico a Fs. 15 informa que el matrimonio padece problemas de salud, el Sr. Zapata está desocupado, la Sra. Escolástica realiza algunas actividades como empleada por hora, sus 2 hijos y 2 nietos completan el grupo familiar;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uno de los nietos trabaja como peón de albañil siendo éste el que ayuda fundamentalmente a la familia;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la hija menor soltera estudia y trabaja como servicio doméstico teniendo un ingreso que apenas le alcaza para cubrir sus gastos de transporte y fotocopias en la universidad;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parte de la deuda de Tasa por Servicios a la Propiedad está en juicio según planilla de Dirección de Ingresos Públicos a Fs. 17 y 18; </w:t>
      </w:r>
    </w:p>
    <w:p>
      <w:pPr>
        <w:pStyle w:val="P3"/>
        <w:ind w:left="709"/>
        <w:jc w:val="both"/>
        <w:rPr>
          <w:rFonts w:ascii="Courier New" w:hAnsi="Courier New" w:cs="Courier New"/>
        </w:rPr>
      </w:pPr>
    </w:p>
    <w:p>
      <w:pPr>
        <w:pStyle w:val="P3"/>
        <w:ind w:left="709"/>
        <w:jc w:val="right"/>
        <w:rPr>
          <w:rFonts w:ascii="Courier New" w:hAnsi="Courier New" w:cs="Courier New"/>
        </w:rPr>
      </w:pPr>
      <w:r>
        <w:rPr>
          <w:rFonts w:ascii="Courier New" w:hAnsi="Courier New" w:cs="Courier New"/>
        </w:rPr>
        <w:t>...///</w:t>
      </w:r>
    </w:p>
    <w:p>
      <w:pPr>
        <w:pStyle w:val="P3"/>
        <w:ind w:left="709"/>
        <w:jc w:val="both"/>
        <w:rPr>
          <w:rFonts w:ascii="Courier New" w:hAnsi="Courier New" w:cs="Courier New"/>
        </w:rPr>
      </w:pPr>
    </w:p>
    <w:p>
      <w:pPr>
        <w:pStyle w:val="P3"/>
        <w:ind w:left="709"/>
        <w:jc w:val="both"/>
        <w:rPr>
          <w:rFonts w:ascii="Courier New" w:hAnsi="Courier New" w:cs="Courier New"/>
        </w:rPr>
      </w:pPr>
    </w:p>
    <w:p>
      <w:pPr>
        <w:pStyle w:val="P3"/>
        <w:ind w:left="709"/>
        <w:jc w:val="both"/>
        <w:rPr>
          <w:rFonts w:ascii="Courier New" w:hAnsi="Courier New" w:cs="Courier New"/>
        </w:rPr>
      </w:pPr>
    </w:p>
    <w:p>
      <w:pPr>
        <w:pStyle w:val="P3"/>
        <w:ind w:left="709"/>
        <w:jc w:val="both"/>
        <w:rPr>
          <w:rFonts w:ascii="Courier New" w:hAnsi="Courier New" w:cs="Courier New"/>
        </w:rPr>
      </w:pPr>
    </w:p>
    <w:p>
      <w:pPr>
        <w:pStyle w:val="P3"/>
        <w:ind w:left="709"/>
        <w:jc w:val="both"/>
        <w:rPr>
          <w:rFonts w:ascii="Courier New" w:hAnsi="Courier New" w:cs="Courier New"/>
        </w:rPr>
      </w:pPr>
    </w:p>
    <w:p>
      <w:pPr>
        <w:pStyle w:val="P3"/>
        <w:ind w:left="0"/>
        <w:jc w:val="both"/>
        <w:rPr>
          <w:rFonts w:ascii="Courier New" w:hAnsi="Courier New" w:cs="Courier New"/>
        </w:rPr>
      </w:pPr>
    </w:p>
    <w:p>
      <w:pPr>
        <w:pStyle w:val="P3"/>
        <w:ind w:left="0"/>
        <w:jc w:val="both"/>
        <w:rPr>
          <w:rFonts w:ascii="Courier New" w:hAnsi="Courier New" w:cs="Courier New"/>
        </w:rPr>
      </w:pPr>
    </w:p>
    <w:p>
      <w:pPr>
        <w:pStyle w:val="P3"/>
        <w:ind w:left="0"/>
        <w:jc w:val="both"/>
        <w:rPr>
          <w:rFonts w:ascii="Courier New" w:hAnsi="Courier New" w:cs="Courier New"/>
        </w:rPr>
      </w:pPr>
      <w:r>
        <w:rPr>
          <w:rFonts w:ascii="Courier New" w:hAnsi="Courier New" w:cs="Courier New"/>
        </w:rPr>
        <w:t>...///2.-</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la solicitante se presentó a dialogar con los miembros de la Comisión de Hacienda, en conformidad con el marido, aclarando aspectos relacionados con su pedido y con la información obrante;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manifiesta voluntad de pago con cuotas más accesibles;</w:t>
      </w:r>
    </w:p>
    <w:p>
      <w:pPr>
        <w:pStyle w:val="P3"/>
        <w:ind w:left="709"/>
        <w:jc w:val="both"/>
        <w:rPr>
          <w:rFonts w:ascii="Courier New" w:hAnsi="Courier New" w:cs="Courier New"/>
        </w:rPr>
      </w:pPr>
    </w:p>
    <w:p>
      <w:pPr>
        <w:pStyle w:val="P3"/>
        <w:ind w:left="709"/>
        <w:jc w:val="both"/>
        <w:rPr>
          <w:rFonts w:ascii="Courier New" w:hAnsi="Courier New"/>
        </w:rPr>
      </w:pPr>
      <w:r>
        <w:rPr>
          <w:rFonts w:ascii="Courier New" w:hAnsi="Courier New" w:cs="Courier New"/>
        </w:rPr>
        <w:t>Que evaluado el contenido del Expediente mencionado por Comisión de Hacienda, la misma emite despacho en el marco de las Ordenanzas vigentes, despacho aprobado por unanimidad en Sesión Ordinaria de fecha 11 de Octubre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cs="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cs="Courier New"/>
          <w:b w:val="1"/>
          <w:bCs w:val="1"/>
        </w:rPr>
        <w:t>DÉJESE</w:t>
      </w:r>
      <w:r>
        <w:rPr>
          <w:rFonts w:ascii="Courier New" w:hAnsi="Courier New" w:cs="Courier New"/>
        </w:rPr>
        <w:t xml:space="preserve"> sin efecto el Plan de Pagos Nº 36.898 acreditando lo abonado como parte de pago de la deuda correspondiente.</w:t>
      </w:r>
    </w:p>
    <w:p>
      <w:pPr>
        <w:pStyle w:val="P3"/>
        <w:ind w:hanging="709" w:left="709"/>
        <w:jc w:val="both"/>
        <w:rPr>
          <w:rFonts w:ascii="Courier New" w:hAnsi="Courier New"/>
        </w:rPr>
      </w:pPr>
    </w:p>
    <w:p>
      <w:pPr>
        <w:pStyle w:val="P4"/>
        <w:ind w:hanging="709" w:left="709"/>
        <w:jc w:val="both"/>
        <w:outlineLvl w:val="0"/>
        <w:rPr>
          <w:rFonts w:ascii="Courier New" w:hAnsi="Courier New"/>
          <w:b w:val="1"/>
          <w:bCs w:val="1"/>
        </w:rPr>
      </w:pPr>
      <w:r>
        <w:rPr>
          <w:rFonts w:ascii="Courier New" w:hAnsi="Courier New"/>
          <w:b w:val="1"/>
          <w:bCs w:val="1"/>
          <w:u w:val="single"/>
        </w:rPr>
        <w:t>Art.2</w:t>
      </w:r>
      <w:r>
        <w:rPr>
          <w:rFonts w:ascii="Courier New" w:hAnsi="Courier New"/>
          <w:b w:val="1"/>
          <w:bCs w:val="1"/>
        </w:rPr>
        <w:t xml:space="preserve">: </w:t>
      </w:r>
      <w:r>
        <w:rPr>
          <w:rFonts w:ascii="Courier New" w:hAnsi="Courier New" w:cs="Courier New"/>
          <w:b w:val="1"/>
          <w:bCs w:val="1"/>
        </w:rPr>
        <w:t>AUTORÍZASE</w:t>
      </w:r>
      <w:r>
        <w:rPr>
          <w:rFonts w:ascii="Courier New" w:hAnsi="Courier New" w:cs="Courier New"/>
        </w:rPr>
        <w:t xml:space="preserve"> al Departamento Ejecutivo a realizar un nuevo Plan de Pagos con cuotas mensuales de diez pesos ($10.-) en concepto de deuda por Obra de Red de Gas que posee el Contribuyente Nº 28771.</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cs="Courier New"/>
        </w:rPr>
      </w:pPr>
      <w:r>
        <w:rPr>
          <w:rFonts w:ascii="Courier New" w:hAnsi="Courier New" w:cs="Courier New"/>
          <w:b w:val="1"/>
          <w:bCs w:val="1"/>
          <w:u w:val="single"/>
        </w:rPr>
        <w:t>Art.3</w:t>
      </w:r>
      <w:r>
        <w:rPr>
          <w:rFonts w:ascii="Courier New" w:hAnsi="Courier New" w:cs="Courier New"/>
          <w:b w:val="1"/>
          <w:bCs w:val="1"/>
        </w:rPr>
        <w:t xml:space="preserve">: OTÓRGASE </w:t>
      </w:r>
      <w:r>
        <w:rPr>
          <w:rFonts w:ascii="Courier New" w:hAnsi="Courier New" w:cs="Courier New"/>
        </w:rPr>
        <w:t>el beneficio de la Ordenanza Nº 5485, Artículo 3 fijando una cuota mensual de cinco pesos ($5.-) en concepto de Tasa por Servicios a la Propiedad de la designación catastral 01-01-239-007-000 desde Noviembre de 2007 y hasta Diciembre de 2008 inclusive.</w:t>
      </w:r>
    </w:p>
    <w:p>
      <w:pPr>
        <w:pStyle w:val="P4"/>
        <w:ind w:hanging="709" w:left="709"/>
        <w:jc w:val="both"/>
        <w:outlineLvl w:val="0"/>
        <w:rPr>
          <w:rFonts w:ascii="Courier New" w:hAnsi="Courier New" w:cs="Courier New"/>
        </w:rPr>
      </w:pPr>
    </w:p>
    <w:p>
      <w:pPr>
        <w:pStyle w:val="P4"/>
        <w:ind w:hanging="709" w:left="709"/>
        <w:jc w:val="both"/>
        <w:outlineLvl w:val="0"/>
        <w:rPr>
          <w:rFonts w:ascii="Courier New" w:hAnsi="Courier New" w:cs="Courier New"/>
        </w:rPr>
      </w:pPr>
      <w:r>
        <w:rPr>
          <w:rFonts w:ascii="Courier New" w:hAnsi="Courier New" w:cs="Courier New"/>
          <w:b w:val="1"/>
          <w:bCs w:val="1"/>
          <w:u w:val="single"/>
        </w:rPr>
        <w:t>Art.4</w:t>
      </w:r>
      <w:r>
        <w:rPr>
          <w:rFonts w:ascii="Courier New" w:hAnsi="Courier New" w:cs="Courier New"/>
          <w:b w:val="1"/>
          <w:bCs w:val="1"/>
        </w:rPr>
        <w:t>:</w:t>
      </w:r>
      <w:r>
        <w:t xml:space="preserve"> </w:t>
      </w:r>
      <w:r>
        <w:rPr>
          <w:rFonts w:ascii="Courier New" w:hAnsi="Courier New" w:cs="Courier New"/>
          <w:b w:val="1"/>
          <w:bCs w:val="1"/>
        </w:rPr>
        <w:t>TRANSCURRIDO</w:t>
      </w:r>
      <w:r>
        <w:rPr>
          <w:rFonts w:ascii="Courier New" w:hAnsi="Courier New" w:cs="Courier New"/>
        </w:rPr>
        <w:t xml:space="preserve"> el período estipulado en el Artículo 3, realizar un nuevo estudio socioeconómico y de persistir las causas que fundamentan el presente beneficio extender el mismo por otros 12 meses.</w:t>
      </w:r>
    </w:p>
    <w:p>
      <w:pPr>
        <w:pStyle w:val="P4"/>
        <w:ind w:hanging="709" w:left="709"/>
        <w:jc w:val="right"/>
        <w:outlineLvl w:val="0"/>
        <w:rPr>
          <w:rFonts w:ascii="Courier New" w:hAnsi="Courier New" w:cs="Courier New"/>
        </w:rPr>
      </w:pPr>
      <w:r>
        <w:rPr>
          <w:rFonts w:ascii="Courier New" w:hAnsi="Courier New" w:cs="Courier New"/>
        </w:rPr>
        <w:t>...///</w:t>
      </w:r>
    </w:p>
    <w:p>
      <w:pPr>
        <w:pStyle w:val="P4"/>
        <w:ind w:hanging="709" w:left="709"/>
        <w:jc w:val="both"/>
        <w:outlineLvl w:val="0"/>
        <w:rPr>
          <w:rFonts w:ascii="Courier New" w:hAnsi="Courier New" w:cs="Courier New"/>
        </w:rPr>
      </w:pPr>
    </w:p>
    <w:p>
      <w:pPr>
        <w:pStyle w:val="P4"/>
        <w:ind w:hanging="709" w:left="709"/>
        <w:jc w:val="both"/>
        <w:outlineLvl w:val="0"/>
        <w:rPr>
          <w:rFonts w:ascii="Courier New" w:hAnsi="Courier New" w:cs="Courier New"/>
          <w:b w:val="1"/>
          <w:bCs w:val="1"/>
          <w:u w:val="single"/>
        </w:rPr>
      </w:pPr>
    </w:p>
    <w:p>
      <w:pPr>
        <w:pStyle w:val="P4"/>
        <w:ind w:hanging="709" w:left="709"/>
        <w:jc w:val="both"/>
        <w:outlineLvl w:val="0"/>
        <w:rPr>
          <w:rFonts w:ascii="Courier New" w:hAnsi="Courier New" w:cs="Courier New"/>
          <w:b w:val="1"/>
          <w:bCs w:val="1"/>
          <w:u w:val="single"/>
        </w:rPr>
      </w:pPr>
    </w:p>
    <w:p>
      <w:pPr>
        <w:pStyle w:val="P4"/>
        <w:ind w:hanging="709" w:left="709"/>
        <w:jc w:val="both"/>
        <w:outlineLvl w:val="0"/>
        <w:rPr>
          <w:rFonts w:ascii="Courier New" w:hAnsi="Courier New" w:cs="Courier New"/>
          <w:b w:val="1"/>
          <w:bCs w:val="1"/>
          <w:u w:val="single"/>
        </w:rPr>
      </w:pPr>
    </w:p>
    <w:p>
      <w:pPr>
        <w:pStyle w:val="P4"/>
        <w:ind w:hanging="709" w:left="709"/>
        <w:jc w:val="both"/>
        <w:outlineLvl w:val="0"/>
        <w:rPr>
          <w:rFonts w:ascii="Courier New" w:hAnsi="Courier New" w:cs="Courier New"/>
          <w:b w:val="1"/>
          <w:bCs w:val="1"/>
          <w:u w:val="single"/>
        </w:rPr>
      </w:pPr>
    </w:p>
    <w:p>
      <w:pPr>
        <w:pStyle w:val="P4"/>
        <w:ind w:hanging="709" w:left="709"/>
        <w:jc w:val="both"/>
        <w:outlineLvl w:val="0"/>
        <w:rPr>
          <w:rFonts w:ascii="Courier New" w:hAnsi="Courier New" w:cs="Courier New"/>
        </w:rPr>
      </w:pPr>
    </w:p>
    <w:p>
      <w:pPr>
        <w:pStyle w:val="P4"/>
        <w:ind w:hanging="709" w:left="709"/>
        <w:jc w:val="both"/>
        <w:outlineLvl w:val="0"/>
        <w:rPr>
          <w:rFonts w:ascii="Courier New" w:hAnsi="Courier New" w:cs="Courier New"/>
        </w:rPr>
      </w:pPr>
    </w:p>
    <w:p>
      <w:pPr>
        <w:pStyle w:val="P4"/>
        <w:ind w:hanging="709" w:left="709"/>
        <w:jc w:val="both"/>
        <w:outlineLvl w:val="0"/>
        <w:rPr>
          <w:rFonts w:ascii="Courier New" w:hAnsi="Courier New" w:cs="Courier New"/>
        </w:rPr>
      </w:pPr>
      <w:r>
        <w:rPr>
          <w:rFonts w:ascii="Courier New" w:hAnsi="Courier New" w:cs="Courier New"/>
        </w:rPr>
        <w:t>...///3.-</w:t>
      </w:r>
    </w:p>
    <w:p>
      <w:pPr>
        <w:pStyle w:val="P4"/>
        <w:ind w:hanging="709" w:left="709"/>
        <w:jc w:val="both"/>
        <w:outlineLvl w:val="0"/>
        <w:rPr>
          <w:rFonts w:ascii="Courier New" w:hAnsi="Courier New" w:cs="Courier New"/>
          <w:b w:val="1"/>
          <w:bCs w:val="1"/>
          <w:u w:val="single"/>
        </w:rPr>
      </w:pPr>
    </w:p>
    <w:p>
      <w:pPr>
        <w:pStyle w:val="P4"/>
        <w:ind w:hanging="709" w:left="709"/>
        <w:jc w:val="both"/>
        <w:outlineLvl w:val="0"/>
        <w:rPr>
          <w:rFonts w:ascii="Courier New" w:hAnsi="Courier New" w:cs="Courier New"/>
          <w:b w:val="1"/>
          <w:bCs w:val="1"/>
          <w:u w:val="single"/>
        </w:rPr>
      </w:pPr>
      <w:r>
        <w:rPr>
          <w:rFonts w:ascii="Courier New" w:hAnsi="Courier New" w:cs="Courier New"/>
          <w:b w:val="1"/>
          <w:bCs w:val="1"/>
          <w:u w:val="single"/>
        </w:rPr>
        <w:t>Art.5</w:t>
      </w:r>
      <w:r>
        <w:rPr>
          <w:rFonts w:ascii="Courier New" w:hAnsi="Courier New" w:cs="Courier New"/>
          <w:b w:val="1"/>
          <w:bCs w:val="1"/>
        </w:rPr>
        <w:t>:</w:t>
      </w:r>
      <w:r>
        <w:rPr>
          <w:rFonts w:ascii="Courier New" w:hAnsi="Courier New" w:cs="Courier New"/>
        </w:rPr>
        <w:t xml:space="preserve"> </w:t>
      </w:r>
      <w:r>
        <w:rPr>
          <w:rFonts w:ascii="Courier New" w:hAnsi="Courier New" w:cs="Courier New"/>
          <w:b w:val="1"/>
          <w:bCs w:val="1"/>
        </w:rPr>
        <w:t>SOLICÍTASE</w:t>
      </w:r>
      <w:r>
        <w:rPr>
          <w:rFonts w:ascii="Courier New" w:hAnsi="Courier New" w:cs="Courier New"/>
        </w:rPr>
        <w:t xml:space="preserve"> al Sr. Intendente que interceda ante el procurador actuante a fin de dejar sin efecto juicio y honorarios devengados por la deuda que registra en concepto de Tasa por Servicios a la Propiedad el Sr. Zapata Raúl, D.N.I. Nº 6.595.215.</w:t>
      </w:r>
    </w:p>
    <w:p>
      <w:pPr>
        <w:pStyle w:val="P5"/>
        <w:ind w:hanging="709" w:left="709"/>
        <w:jc w:val="both"/>
        <w:rPr>
          <w:sz w:val="24"/>
          <w:szCs w:val="24"/>
          <w:lang/>
        </w:rPr>
      </w:pPr>
    </w:p>
    <w:p>
      <w:pPr>
        <w:pStyle w:val="P5"/>
        <w:ind w:hanging="709" w:left="709"/>
        <w:jc w:val="both"/>
        <w:rPr>
          <w:sz w:val="24"/>
          <w:szCs w:val="24"/>
          <w:lang/>
        </w:rPr>
      </w:pPr>
      <w:r>
        <w:rPr>
          <w:b w:val="1"/>
          <w:bCs w:val="1"/>
          <w:sz w:val="24"/>
          <w:szCs w:val="24"/>
          <w:u w:val="single"/>
          <w:lang/>
        </w:rPr>
        <w:t>Art.6</w:t>
      </w:r>
      <w:r>
        <w:rPr>
          <w:b w:val="1"/>
          <w:bCs w:val="1"/>
          <w:sz w:val="24"/>
          <w:szCs w:val="24"/>
          <w:lang/>
        </w:rPr>
        <w:t xml:space="preserve"> PROTOCOLÍCESE</w:t>
      </w:r>
      <w:r>
        <w:rPr>
          <w:sz w:val="24"/>
          <w:szCs w:val="24"/>
          <w:lang/>
        </w:rPr>
        <w:t>, comuníquese, publíquese en el Boletín Oficial de la Ciudad de Alta Gracia, transcríbase al libro de Ordenanzas y Archívese.</w:t>
      </w:r>
    </w:p>
    <w:p>
      <w:pPr>
        <w:pStyle w:val="P5"/>
        <w:ind w:hanging="709" w:left="709"/>
        <w:jc w:val="both"/>
        <w:rPr>
          <w:b w:val="1"/>
          <w:bCs w:val="1"/>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ONCE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AF85567"/>
    <w:multiLevelType w:val="multilevel"/>
    <w:lvl w:ilvl="0">
      <w:start w:val="1"/>
      <w:numFmt w:val="upperLetter"/>
      <w:suff w:val="tab"/>
      <w:lvlText w:val="%1)"/>
      <w:lvlJc w:val="left"/>
      <w:pPr>
        <w:ind w:hanging="525" w:left="1233"/>
        <w:tabs>
          <w:tab w:val="num" w:pos="1233" w:leader="none"/>
        </w:tabs>
      </w:pPr>
      <w:rPr/>
    </w:lvl>
    <w:lvl w:ilvl="1">
      <w:start w:val="1"/>
      <w:numFmt w:val="lowerLetter"/>
      <w:suff w:val="tab"/>
      <w:lvlText w:val="%2."/>
      <w:lvlJc w:val="left"/>
      <w:pPr>
        <w:ind w:hanging="360" w:left="1788"/>
        <w:tabs>
          <w:tab w:val="num" w:pos="1788" w:leader="none"/>
        </w:tabs>
      </w:pPr>
      <w:rPr/>
    </w:lvl>
    <w:lvl w:ilvl="2">
      <w:start w:val="1"/>
      <w:numFmt w:val="lowerRoman"/>
      <w:suff w:val="tab"/>
      <w:lvlText w:val="%3."/>
      <w:lvlJc w:val="right"/>
      <w:pPr>
        <w:ind w:hanging="180" w:left="2508"/>
        <w:tabs>
          <w:tab w:val="num" w:pos="2508" w:leader="none"/>
        </w:tabs>
      </w:pPr>
      <w:rPr/>
    </w:lvl>
    <w:lvl w:ilvl="3">
      <w:start w:val="1"/>
      <w:numFmt w:val="decimal"/>
      <w:suff w:val="tab"/>
      <w:lvlText w:val="%4."/>
      <w:lvlJc w:val="left"/>
      <w:pPr>
        <w:ind w:hanging="360" w:left="3228"/>
        <w:tabs>
          <w:tab w:val="num" w:pos="3228" w:leader="none"/>
        </w:tabs>
      </w:pPr>
      <w:rPr/>
    </w:lvl>
    <w:lvl w:ilvl="4">
      <w:start w:val="1"/>
      <w:numFmt w:val="lowerLetter"/>
      <w:suff w:val="tab"/>
      <w:lvlText w:val="%5."/>
      <w:lvlJc w:val="left"/>
      <w:pPr>
        <w:ind w:hanging="360" w:left="3948"/>
        <w:tabs>
          <w:tab w:val="num" w:pos="3948" w:leader="none"/>
        </w:tabs>
      </w:pPr>
      <w:rPr/>
    </w:lvl>
    <w:lvl w:ilvl="5">
      <w:start w:val="1"/>
      <w:numFmt w:val="lowerRoman"/>
      <w:suff w:val="tab"/>
      <w:lvlText w:val="%6."/>
      <w:lvlJc w:val="right"/>
      <w:pPr>
        <w:ind w:hanging="180" w:left="4668"/>
        <w:tabs>
          <w:tab w:val="num" w:pos="4668" w:leader="none"/>
        </w:tabs>
      </w:pPr>
      <w:rPr/>
    </w:lvl>
    <w:lvl w:ilvl="6">
      <w:start w:val="1"/>
      <w:numFmt w:val="decimal"/>
      <w:suff w:val="tab"/>
      <w:lvlText w:val="%7."/>
      <w:lvlJc w:val="left"/>
      <w:pPr>
        <w:ind w:hanging="360" w:left="5388"/>
        <w:tabs>
          <w:tab w:val="num" w:pos="5388" w:leader="none"/>
        </w:tabs>
      </w:pPr>
      <w:rPr/>
    </w:lvl>
    <w:lvl w:ilvl="7">
      <w:start w:val="1"/>
      <w:numFmt w:val="lowerLetter"/>
      <w:suff w:val="tab"/>
      <w:lvlText w:val="%8."/>
      <w:lvlJc w:val="left"/>
      <w:pPr>
        <w:ind w:hanging="360" w:left="6108"/>
        <w:tabs>
          <w:tab w:val="num" w:pos="6108" w:leader="none"/>
        </w:tabs>
      </w:pPr>
      <w:rPr/>
    </w:lvl>
    <w:lvl w:ilvl="8">
      <w:start w:val="1"/>
      <w:numFmt w:val="lowerRoman"/>
      <w:suff w:val="tab"/>
      <w:lvlText w:val="%9."/>
      <w:lvlJc w:val="right"/>
      <w:pPr>
        <w:ind w:hanging="180" w:left="6828"/>
        <w:tabs>
          <w:tab w:val="num" w:pos="6828" w:leader="none"/>
        </w:tabs>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2026-07-09T18:51:15Z</dcterms:created>
  <cp:lastModifiedBy>Federico Parisi</cp:lastModifiedBy>
  <cp:lastPrinted>2007-09-29T12:41:00Z</cp:lastPrinted>
  <dcterms:modified xsi:type="dcterms:W3CDTF">2026-07-09T18:51:15Z</dcterms:modified>
  <cp:revision>2</cp:revision>
  <dc:title>P R O Y E C T O   D E   O R D E N A N Z A</dc:title>
</cp:coreProperties>
</file>