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7856</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1258/02;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w:t>
      </w:r>
      <w:r>
        <w:rPr>
          <w:rFonts w:ascii="Courier New" w:hAnsi="Courier New" w:cs="Courier New"/>
        </w:rPr>
        <w:t>por la Sra. Zagaglia María Graciela, D.N.I. 4.750.098 domiciliada en calle San Juan Bosco 433 Barrio Sur donde manifiesta su imposibilidad económica de afrontar el pago de Tasa por Servicios a la Propiedad;</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en octubre de 2003 surge la Ordenanza Nº 6551 que le otorga beneficios de eximición y fija cuota solidaria para la designación catastral 01-01-046-027-000;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en abril de 2006 presenta una nota donde solicita nuevamente eximición o continuar con el beneficio o una cuota más baja;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último estudio socioeconómico informa que la solicitante y su marido no tienen ingresos monetarios, siendo el hijo el que vive con ellos el que aporta al grupo familiar, se aclara además que están realizando trámites jubilatorios con respuesta favorable pero sin cobro todavía;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la deuda que registra no posee juicio iniciado;</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solicitante se presentó a dialogar con los miembros de la Comisión de Hacienda aclarando aspectos relacionados con su situación y su solicitud;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de lo expresado surge la necesidad de regularizar la deuda que posee manifestando voluntad de pago con cuotas accesibles;</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right"/>
        <w:rPr>
          <w:rFonts w:ascii="Courier New" w:hAnsi="Courier New"/>
        </w:rPr>
      </w:pPr>
      <w:r>
        <w:rPr>
          <w:rFonts w:ascii="Courier New" w:hAnsi="Courier New"/>
        </w:rPr>
        <w:t>...///</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cs="Courier New"/>
          <w:b w:val="1"/>
          <w:bCs w:val="1"/>
        </w:rPr>
        <w:t>FÍJASE</w:t>
      </w:r>
      <w:r>
        <w:rPr>
          <w:rFonts w:ascii="Courier New" w:hAnsi="Courier New" w:cs="Courier New"/>
        </w:rPr>
        <w:t>, a partir de noviembre de 2007 y hasta diciembre de 2008 inclusive, una cuota mensual de diez pesos ($10.-) en concepto de Tasa por Servicios a la Propiedad para la designación catastral 01-01-046-027-000.</w:t>
      </w:r>
    </w:p>
    <w:p>
      <w:pPr>
        <w:pStyle w:val="P3"/>
        <w:ind w:hanging="709" w:left="709"/>
        <w:jc w:val="both"/>
        <w:rPr>
          <w:rFonts w:ascii="Courier New" w:hAnsi="Courier New"/>
        </w:rPr>
      </w:pPr>
    </w:p>
    <w:p>
      <w:pPr>
        <w:pStyle w:val="P5"/>
        <w:ind w:hanging="709" w:left="709"/>
        <w:jc w:val="both"/>
        <w:rPr>
          <w:sz w:val="24"/>
          <w:szCs w:val="24"/>
        </w:rPr>
      </w:pPr>
      <w:r>
        <w:rPr>
          <w:b w:val="1"/>
          <w:bCs w:val="1"/>
          <w:sz w:val="24"/>
          <w:szCs w:val="24"/>
          <w:u w:val="single"/>
        </w:rPr>
        <w:t>Art.2</w:t>
      </w:r>
      <w:r>
        <w:rPr>
          <w:b w:val="1"/>
          <w:bCs w:val="1"/>
          <w:sz w:val="24"/>
          <w:szCs w:val="24"/>
        </w:rPr>
        <w:t xml:space="preserve">: EXÍMASE </w:t>
      </w:r>
      <w:r>
        <w:rPr>
          <w:sz w:val="24"/>
          <w:szCs w:val="24"/>
        </w:rPr>
        <w:t>por cada cuota abonada en término de igual cantidad de cuotas de la deuda que posee por el mismo concepto.</w:t>
      </w:r>
    </w:p>
    <w:p>
      <w:pPr>
        <w:pStyle w:val="P5"/>
        <w:ind w:hanging="709" w:left="709"/>
        <w:jc w:val="both"/>
        <w:rPr>
          <w:sz w:val="24"/>
          <w:szCs w:val="24"/>
        </w:rPr>
      </w:pPr>
    </w:p>
    <w:p>
      <w:pPr>
        <w:pStyle w:val="P5"/>
        <w:ind w:hanging="709" w:left="709"/>
        <w:jc w:val="both"/>
        <w:rPr>
          <w:sz w:val="24"/>
          <w:szCs w:val="24"/>
        </w:rPr>
      </w:pPr>
      <w:r>
        <w:rPr>
          <w:b w:val="1"/>
          <w:bCs w:val="1"/>
          <w:sz w:val="24"/>
          <w:szCs w:val="24"/>
          <w:u w:val="single"/>
        </w:rPr>
        <w:t>Art.3</w:t>
      </w:r>
      <w:r>
        <w:rPr>
          <w:b w:val="1"/>
          <w:bCs w:val="1"/>
          <w:sz w:val="24"/>
          <w:szCs w:val="24"/>
        </w:rPr>
        <w:t>: CADÚQUENSE</w:t>
      </w:r>
      <w:r>
        <w:rPr>
          <w:sz w:val="24"/>
          <w:szCs w:val="24"/>
        </w:rPr>
        <w:t xml:space="preserve"> en forma automática los beneficios otorgados en caso de venta, transferencia, cambio de titularidad o registrarse cuotas impagas de la tasa actual. Situación similar si la solicitante y/o su marido comienzan a percibir el beneficio jubilatorio tramitado.</w:t>
      </w:r>
    </w:p>
    <w:p>
      <w:pPr>
        <w:pStyle w:val="P5"/>
        <w:ind w:hanging="709" w:left="709"/>
        <w:jc w:val="both"/>
        <w:rPr>
          <w:sz w:val="24"/>
          <w:szCs w:val="24"/>
        </w:rPr>
      </w:pPr>
    </w:p>
    <w:p>
      <w:pPr>
        <w:pStyle w:val="P5"/>
        <w:ind w:hanging="709" w:left="709"/>
        <w:jc w:val="both"/>
        <w:rPr>
          <w:sz w:val="24"/>
          <w:szCs w:val="24"/>
        </w:rPr>
      </w:pPr>
      <w:r>
        <w:rPr>
          <w:b w:val="1"/>
          <w:bCs w:val="1"/>
          <w:sz w:val="24"/>
          <w:szCs w:val="24"/>
          <w:u w:val="single"/>
        </w:rPr>
        <w:t>Art.4</w:t>
      </w:r>
      <w:r>
        <w:rPr>
          <w:b w:val="1"/>
          <w:bCs w:val="1"/>
          <w:sz w:val="24"/>
          <w:szCs w:val="24"/>
        </w:rPr>
        <w:t>: TRANSCURRIDO</w:t>
      </w:r>
      <w:r>
        <w:rPr>
          <w:sz w:val="24"/>
          <w:szCs w:val="24"/>
        </w:rPr>
        <w:t xml:space="preserve"> el período fijado en el Artículo 1, realizar un nuevo estudio socioeconómico y en caso de persistir la situación que fundamenta la presente Ordenanza continuar con los beneficios otorgados en los Artículos 1 y 2 por otros 12 meses.</w:t>
      </w:r>
    </w:p>
    <w:p>
      <w:pPr>
        <w:pStyle w:val="P5"/>
        <w:ind w:hanging="709" w:left="709"/>
        <w:jc w:val="both"/>
        <w:rPr>
          <w:sz w:val="24"/>
          <w:szCs w:val="24"/>
        </w:rPr>
      </w:pPr>
    </w:p>
    <w:p>
      <w:pPr>
        <w:pStyle w:val="P5"/>
        <w:ind w:hanging="709" w:left="709"/>
        <w:jc w:val="both"/>
        <w:rPr>
          <w:sz w:val="24"/>
          <w:szCs w:val="24"/>
          <w:lang/>
        </w:rPr>
      </w:pPr>
      <w:r>
        <w:rPr>
          <w:b w:val="1"/>
          <w:bCs w:val="1"/>
          <w:sz w:val="24"/>
          <w:szCs w:val="24"/>
          <w:u w:val="single"/>
          <w:lang/>
        </w:rPr>
        <w:t>Art.5</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2026-07-09T18:50:48Z</dcterms:created>
  <cp:lastModifiedBy>Federico Parisi</cp:lastModifiedBy>
  <cp:lastPrinted>2007-10-19T13:47:00Z</cp:lastPrinted>
  <dcterms:modified xsi:type="dcterms:W3CDTF">2026-07-09T18:50:48Z</dcterms:modified>
  <cp:revision>2</cp:revision>
  <dc:title>P R O Y E C T O   D E   O R D E N A N Z A</dc:title>
</cp:coreProperties>
</file>