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7863</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464/I/07;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cs="Courier New"/>
        </w:rPr>
      </w:pPr>
      <w:r>
        <w:rPr>
          <w:rFonts w:ascii="Courier New" w:hAnsi="Courier New" w:cs="Courier New"/>
        </w:rPr>
        <w:t xml:space="preserve">Que el mismo es </w:t>
      </w:r>
      <w:r>
        <w:rPr>
          <w:rFonts w:ascii="Courier New" w:hAnsi="Courier New" w:cs="Courier New"/>
          <w:lang w:val="es-MX"/>
        </w:rPr>
        <w:t xml:space="preserve">iniciado </w:t>
      </w:r>
      <w:r>
        <w:rPr>
          <w:rFonts w:ascii="Courier New" w:hAnsi="Courier New" w:cs="Courier New"/>
        </w:rPr>
        <w:t>por la Sra. Lilian Udrizar de Márquez domiciliada en calle Lorusso 126 Barrio Cámara solicitando un Plan de Pagos acorde a sus posibilidades;</w:t>
      </w:r>
    </w:p>
    <w:p>
      <w:pPr>
        <w:pStyle w:val="P3"/>
        <w:ind w:left="709"/>
        <w:jc w:val="both"/>
        <w:rPr>
          <w:rFonts w:ascii="Courier New" w:hAnsi="Courier New" w:cs="Courier New"/>
        </w:rPr>
      </w:pPr>
      <w:r>
        <w:rPr>
          <w:rFonts w:ascii="Courier New" w:hAnsi="Courier New" w:cs="Courier New"/>
        </w:rPr>
        <w:t xml:space="preserve"> </w:t>
      </w:r>
    </w:p>
    <w:p>
      <w:pPr>
        <w:pStyle w:val="P3"/>
        <w:ind w:left="709"/>
        <w:jc w:val="both"/>
        <w:rPr>
          <w:rFonts w:ascii="Courier New" w:hAnsi="Courier New" w:cs="Courier New"/>
        </w:rPr>
      </w:pPr>
      <w:r>
        <w:rPr>
          <w:rFonts w:ascii="Courier New" w:hAnsi="Courier New" w:cs="Courier New"/>
        </w:rPr>
        <w:t>Que la deuda es por Tasa por Servicios a la Propiedad y parte de la misma está en juicio;</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el estudio socioeconómico a Fs. 15 y 15 (vuelta), informa que la solicitante da clases particulares, que el marido, ex-empleado de S.A.T.A.G., trabaja como sereno no contando con recibo de sueldo, se aclara además que los hijos del matrimonio estudian, realizan algunos trabajos informales que le sirven para los gastos de viaje y elementos escolares;</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la solicitante es titular del inmueble en cuestión según consta a Fs. 17 (vuelta), informado por Sección Catastro;</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se presentó a dialogar con los miembros de la Comisión de Hacienda manifestando su voluntad de pago pero con cuotas accesibles y que por la edad de su marido éste no consigue trabajo formal en el rubro para el cual está capacitado;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evaluado el contenido del Expediente mencionado por Comisión de Hacienda, la misma emite despacho en el marco de las Ordenanzas vigentes, despacho aprobado por unanimidad en Sesión Ordinaria de fecha 18 de Octubre de 2007.</w:t>
      </w:r>
    </w:p>
    <w:p>
      <w:pPr>
        <w:pStyle w:val="P3"/>
        <w:jc w:val="both"/>
        <w:rPr>
          <w:rFonts w:ascii="Courier New" w:hAnsi="Courier New" w:cs="Courier New"/>
          <w:b w:val="1"/>
          <w:bCs w:val="1"/>
        </w:rPr>
      </w:pPr>
    </w:p>
    <w:p>
      <w:pPr>
        <w:pStyle w:val="P3"/>
        <w:jc w:val="center"/>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r>
        <w:rPr>
          <w:rFonts w:ascii="Courier New" w:hAnsi="Courier New"/>
        </w:rPr>
        <w:t>...///</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rPr>
        <w:t>...///2.-</w:t>
      </w:r>
    </w:p>
    <w:p>
      <w:pPr>
        <w:pStyle w:val="P3"/>
        <w:ind w:hanging="709" w:left="709"/>
        <w:jc w:val="both"/>
        <w:rPr>
          <w:rFonts w:ascii="Courier New" w:hAnsi="Courier New"/>
          <w:b w:val="1"/>
          <w:bCs w:val="1"/>
          <w:u w:val="single"/>
        </w:rPr>
      </w:pPr>
    </w:p>
    <w:p>
      <w:pPr>
        <w:pStyle w:val="P3"/>
        <w:ind w:hanging="709" w:left="709"/>
        <w:jc w:val="both"/>
        <w:rPr>
          <w:rFonts w:ascii="Courier New" w:hAnsi="Courier New" w:cs="Courier New"/>
        </w:rPr>
      </w:pPr>
      <w:r>
        <w:rPr>
          <w:rFonts w:ascii="Courier New" w:hAnsi="Courier New" w:cs="Courier New"/>
          <w:b w:val="1"/>
          <w:bCs w:val="1"/>
          <w:u w:val="single"/>
        </w:rPr>
        <w:t>Art.1</w:t>
      </w:r>
      <w:r>
        <w:rPr>
          <w:rFonts w:ascii="Courier New" w:hAnsi="Courier New" w:cs="Courier New"/>
          <w:b w:val="1"/>
          <w:bCs w:val="1"/>
        </w:rPr>
        <w:t xml:space="preserve">: </w:t>
      </w:r>
      <w:r>
        <w:rPr>
          <w:rFonts w:ascii="Courier New" w:hAnsi="Courier New" w:cs="Courier New"/>
          <w:b w:val="1"/>
          <w:bCs w:val="1"/>
        </w:rPr>
        <w:t>AUTORÍZASE</w:t>
      </w:r>
      <w:r>
        <w:rPr>
          <w:rFonts w:ascii="Courier New" w:hAnsi="Courier New" w:cs="Courier New"/>
        </w:rPr>
        <w:t xml:space="preserve"> al Departamento Ejecutivo a realizar un Plan de Pagos por la deuda que a Valores Históricos registra en concepto de Tasa por Servicios a la Propiedad la designación catastral 03-01-179-023-000 hasta octubre de 2007 inclusive, con cuotas mensuales que no superen los cincuenta pesos ($50.-). Dicho Plan comenzará a tener vigencia a partir de enero de 2008.</w:t>
      </w:r>
    </w:p>
    <w:p>
      <w:pPr>
        <w:pStyle w:val="P3"/>
        <w:ind w:hanging="709" w:left="709"/>
        <w:jc w:val="both"/>
        <w:rPr>
          <w:rFonts w:ascii="Courier New" w:hAnsi="Courier New" w:cs="Courier New"/>
        </w:rPr>
      </w:pPr>
    </w:p>
    <w:p>
      <w:pPr>
        <w:pStyle w:val="P5"/>
        <w:ind w:hanging="709" w:left="709"/>
        <w:jc w:val="both"/>
        <w:rPr>
          <w:sz w:val="24"/>
          <w:szCs w:val="24"/>
        </w:rPr>
      </w:pPr>
      <w:r>
        <w:rPr>
          <w:b w:val="1"/>
          <w:bCs w:val="1"/>
          <w:sz w:val="24"/>
          <w:szCs w:val="24"/>
          <w:u w:val="single"/>
        </w:rPr>
        <w:t>Art.2</w:t>
      </w:r>
      <w:r>
        <w:rPr>
          <w:b w:val="1"/>
          <w:bCs w:val="1"/>
          <w:sz w:val="24"/>
          <w:szCs w:val="24"/>
        </w:rPr>
        <w:t xml:space="preserve">: CADÚQUESE </w:t>
      </w:r>
      <w:r>
        <w:rPr>
          <w:sz w:val="24"/>
          <w:szCs w:val="24"/>
        </w:rPr>
        <w:t>en forma automática el beneficio otorgado en caso de registrarse cuotas atrasadas del Plan de Pagos otorgado o de la Tasa actual, como así también en caso de venta, transferencia o cambio de titularidad del inmueble.</w:t>
      </w:r>
    </w:p>
    <w:p>
      <w:pPr>
        <w:pStyle w:val="P5"/>
        <w:ind w:hanging="709" w:left="709"/>
        <w:jc w:val="both"/>
        <w:rPr>
          <w:b w:val="1"/>
          <w:bCs w:val="1"/>
          <w:sz w:val="24"/>
          <w:szCs w:val="24"/>
        </w:rPr>
      </w:pPr>
    </w:p>
    <w:p>
      <w:pPr>
        <w:pStyle w:val="P5"/>
        <w:ind w:hanging="709" w:left="709"/>
        <w:jc w:val="both"/>
        <w:rPr>
          <w:b w:val="1"/>
          <w:bCs w:val="1"/>
          <w:sz w:val="24"/>
          <w:szCs w:val="24"/>
          <w:lang/>
        </w:rPr>
      </w:pPr>
      <w:r>
        <w:rPr>
          <w:b w:val="1"/>
          <w:bCs w:val="1"/>
          <w:sz w:val="24"/>
          <w:szCs w:val="24"/>
          <w:u w:val="single"/>
        </w:rPr>
        <w:t>Art.3</w:t>
      </w:r>
      <w:r>
        <w:rPr>
          <w:b w:val="1"/>
          <w:bCs w:val="1"/>
          <w:sz w:val="24"/>
          <w:szCs w:val="24"/>
        </w:rPr>
        <w:t>:</w:t>
      </w:r>
      <w:r>
        <w:rPr>
          <w:b w:val="1"/>
          <w:bCs w:val="1"/>
          <w:sz w:val="24"/>
          <w:szCs w:val="24"/>
          <w:lang/>
        </w:rPr>
        <w:t xml:space="preserve"> </w:t>
      </w:r>
      <w:r>
        <w:rPr>
          <w:b w:val="1"/>
          <w:bCs w:val="1"/>
          <w:sz w:val="24"/>
          <w:szCs w:val="24"/>
        </w:rPr>
        <w:t>SOLICÍTASE</w:t>
      </w:r>
      <w:r>
        <w:rPr>
          <w:sz w:val="24"/>
          <w:szCs w:val="24"/>
        </w:rPr>
        <w:t xml:space="preserve"> al Sr. Intendente que interceda ante el procurador actuante a fin de dejar sin efecto juicio y honorarios devengados.</w:t>
      </w:r>
    </w:p>
    <w:p>
      <w:pPr>
        <w:pStyle w:val="P5"/>
        <w:ind w:hanging="709" w:left="709"/>
        <w:jc w:val="both"/>
        <w:rPr>
          <w:b w:val="1"/>
          <w:bCs w:val="1"/>
          <w:sz w:val="24"/>
          <w:szCs w:val="24"/>
          <w:lang/>
        </w:rPr>
      </w:pPr>
    </w:p>
    <w:p>
      <w:pPr>
        <w:pStyle w:val="P5"/>
        <w:ind w:hanging="709" w:left="709"/>
        <w:jc w:val="both"/>
        <w:rPr>
          <w:sz w:val="24"/>
          <w:szCs w:val="24"/>
          <w:lang/>
        </w:rPr>
      </w:pPr>
      <w:r>
        <w:rPr>
          <w:b w:val="1"/>
          <w:bCs w:val="1"/>
          <w:sz w:val="24"/>
          <w:szCs w:val="24"/>
          <w:u w:val="single"/>
          <w:lang/>
        </w:rPr>
        <w:t>Art.4</w:t>
      </w:r>
      <w:r>
        <w:rPr>
          <w:b w:val="1"/>
          <w:bCs w:val="1"/>
          <w:sz w:val="24"/>
          <w:szCs w:val="24"/>
          <w:lang/>
        </w:rPr>
        <w:t>: PROTOCOLÍCESE</w:t>
      </w:r>
      <w:r>
        <w:rPr>
          <w:sz w:val="24"/>
          <w:szCs w:val="24"/>
          <w:lang/>
        </w:rPr>
        <w:t>, comuníquese, publíquese en el Boletín Oficial de la Ciudad de Alta Gracia, transcríbase al libro de Ordenanzas y Archívese.</w:t>
      </w:r>
    </w:p>
    <w:p>
      <w:pPr>
        <w:pStyle w:val="P5"/>
        <w:ind w:hanging="709" w:left="709"/>
        <w:jc w:val="both"/>
        <w:rPr>
          <w:sz w:val="24"/>
          <w:szCs w:val="24"/>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DIECIOCHO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AF85567"/>
    <w:multiLevelType w:val="multilevel"/>
    <w:lvl w:ilvl="0">
      <w:start w:val="1"/>
      <w:numFmt w:val="upperLetter"/>
      <w:suff w:val="tab"/>
      <w:lvlText w:val="%1)"/>
      <w:lvlJc w:val="left"/>
      <w:pPr>
        <w:ind w:hanging="525" w:left="1233"/>
        <w:tabs>
          <w:tab w:val="num" w:pos="1233" w:leader="none"/>
        </w:tabs>
      </w:pPr>
      <w:rPr/>
    </w:lvl>
    <w:lvl w:ilvl="1">
      <w:start w:val="1"/>
      <w:numFmt w:val="lowerLetter"/>
      <w:suff w:val="tab"/>
      <w:lvlText w:val="%2."/>
      <w:lvlJc w:val="left"/>
      <w:pPr>
        <w:ind w:hanging="360" w:left="1788"/>
        <w:tabs>
          <w:tab w:val="num" w:pos="1788" w:leader="none"/>
        </w:tabs>
      </w:pPr>
      <w:rPr/>
    </w:lvl>
    <w:lvl w:ilvl="2">
      <w:start w:val="1"/>
      <w:numFmt w:val="lowerRoman"/>
      <w:suff w:val="tab"/>
      <w:lvlText w:val="%3."/>
      <w:lvlJc w:val="right"/>
      <w:pPr>
        <w:ind w:hanging="180" w:left="2508"/>
        <w:tabs>
          <w:tab w:val="num" w:pos="2508" w:leader="none"/>
        </w:tabs>
      </w:pPr>
      <w:rPr/>
    </w:lvl>
    <w:lvl w:ilvl="3">
      <w:start w:val="1"/>
      <w:numFmt w:val="decimal"/>
      <w:suff w:val="tab"/>
      <w:lvlText w:val="%4."/>
      <w:lvlJc w:val="left"/>
      <w:pPr>
        <w:ind w:hanging="360" w:left="3228"/>
        <w:tabs>
          <w:tab w:val="num" w:pos="3228" w:leader="none"/>
        </w:tabs>
      </w:pPr>
      <w:rPr/>
    </w:lvl>
    <w:lvl w:ilvl="4">
      <w:start w:val="1"/>
      <w:numFmt w:val="lowerLetter"/>
      <w:suff w:val="tab"/>
      <w:lvlText w:val="%5."/>
      <w:lvlJc w:val="left"/>
      <w:pPr>
        <w:ind w:hanging="360" w:left="3948"/>
        <w:tabs>
          <w:tab w:val="num" w:pos="3948" w:leader="none"/>
        </w:tabs>
      </w:pPr>
      <w:rPr/>
    </w:lvl>
    <w:lvl w:ilvl="5">
      <w:start w:val="1"/>
      <w:numFmt w:val="lowerRoman"/>
      <w:suff w:val="tab"/>
      <w:lvlText w:val="%6."/>
      <w:lvlJc w:val="right"/>
      <w:pPr>
        <w:ind w:hanging="180" w:left="4668"/>
        <w:tabs>
          <w:tab w:val="num" w:pos="4668" w:leader="none"/>
        </w:tabs>
      </w:pPr>
      <w:rPr/>
    </w:lvl>
    <w:lvl w:ilvl="6">
      <w:start w:val="1"/>
      <w:numFmt w:val="decimal"/>
      <w:suff w:val="tab"/>
      <w:lvlText w:val="%7."/>
      <w:lvlJc w:val="left"/>
      <w:pPr>
        <w:ind w:hanging="360" w:left="5388"/>
        <w:tabs>
          <w:tab w:val="num" w:pos="5388" w:leader="none"/>
        </w:tabs>
      </w:pPr>
      <w:rPr/>
    </w:lvl>
    <w:lvl w:ilvl="7">
      <w:start w:val="1"/>
      <w:numFmt w:val="lowerLetter"/>
      <w:suff w:val="tab"/>
      <w:lvlText w:val="%8."/>
      <w:lvlJc w:val="left"/>
      <w:pPr>
        <w:ind w:hanging="360" w:left="6108"/>
        <w:tabs>
          <w:tab w:val="num" w:pos="6108" w:leader="none"/>
        </w:tabs>
      </w:pPr>
      <w:rPr/>
    </w:lvl>
    <w:lvl w:ilvl="8">
      <w:start w:val="1"/>
      <w:numFmt w:val="lowerRoman"/>
      <w:suff w:val="tab"/>
      <w:lvlText w:val="%9."/>
      <w:lvlJc w:val="right"/>
      <w:pPr>
        <w:ind w:hanging="180" w:left="6828"/>
        <w:tabs>
          <w:tab w:val="num" w:pos="6828" w:leader="none"/>
        </w:tabs>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2026-07-09T18:49:13Z</dcterms:created>
  <cp:lastModifiedBy>Federico Parisi</cp:lastModifiedBy>
  <cp:lastPrinted>2007-10-24T11:14:00Z</cp:lastPrinted>
  <dcterms:modified xsi:type="dcterms:W3CDTF">2026-07-09T18:49:13Z</dcterms:modified>
  <cp:revision>2</cp:revision>
  <dc:title>P R O Y E C T O   D E   O R D E N A N Z A</dc:title>
</cp:coreProperties>
</file>