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p>
    <w:p>
      <w:pPr>
        <w:pStyle w:val="P2"/>
        <w:rPr>
          <w:rFonts w:ascii="Courier New" w:hAnsi="Courier New"/>
          <w:b w:val="1"/>
          <w:bCs w:val="1"/>
          <w:u w:val="single"/>
        </w:rPr>
      </w:pPr>
    </w:p>
    <w:p>
      <w:pPr>
        <w:pStyle w:val="P2"/>
        <w:rPr>
          <w:rFonts w:ascii="Courier New" w:hAnsi="Courier New"/>
          <w:b w:val="1"/>
          <w:bCs w:val="1"/>
          <w:u w:val="single"/>
        </w:rPr>
      </w:pPr>
      <w:r>
        <w:rPr>
          <w:rFonts w:ascii="Courier New" w:hAnsi="Courier New"/>
          <w:b w:val="1"/>
          <w:bCs w:val="1"/>
          <w:u w:val="single"/>
        </w:rPr>
        <w:t>ORDENANZA Nº 7864</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75/03;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3"/>
        <w:ind w:left="709"/>
        <w:jc w:val="both"/>
        <w:rPr>
          <w:rFonts w:ascii="Courier New" w:hAnsi="Courier New" w:cs="Courier New"/>
        </w:rPr>
      </w:pPr>
      <w:r>
        <w:rPr>
          <w:rFonts w:ascii="Courier New" w:hAnsi="Courier New" w:cs="Courier New"/>
        </w:rPr>
        <w:t>Que el mismo es iniciado por la Sra. Elba Ledesma solicitando eximición de Tasa por Servicios de Administración y Mantenimiento de los Cementerios por la Sepultura Nº 7633;</w:t>
      </w:r>
    </w:p>
    <w:p>
      <w:pPr>
        <w:pStyle w:val="P3"/>
        <w:ind w:left="709"/>
        <w:jc w:val="both"/>
        <w:rPr>
          <w:rFonts w:ascii="Courier New" w:hAnsi="Courier New" w:cs="Courier New"/>
        </w:rPr>
      </w:pPr>
      <w:r>
        <w:rPr>
          <w:rFonts w:ascii="Courier New" w:hAnsi="Courier New" w:cs="Courier New"/>
        </w:rPr>
        <w:t xml:space="preserve"> </w:t>
      </w:r>
    </w:p>
    <w:p>
      <w:pPr>
        <w:pStyle w:val="P3"/>
        <w:ind w:left="709"/>
        <w:jc w:val="both"/>
        <w:rPr>
          <w:rFonts w:ascii="Courier New" w:hAnsi="Courier New" w:cs="Courier New"/>
        </w:rPr>
      </w:pPr>
      <w:r>
        <w:rPr>
          <w:rFonts w:ascii="Courier New" w:hAnsi="Courier New" w:cs="Courier New"/>
        </w:rPr>
        <w:t>Que mediante Ordenanza Nº 6905 se le otorgó la eximición de la deuda que a la fecha de su sanción mantenía la contribuyente;</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Que en abril de 2007 la solicitante pide nuevamente se le exima el pago de las Tasas mencionadas, según nota agregada a Fs. 25;</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Que Dirección de Ingresos Públicos informa la deuda, que se agrega a Fs. 26;</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de un nuevo estudio socioeconómico surge del mismo que la Sra. Ledesma percibe una pensión de ama de casa conviviendo con su padrastro y una hermana, todos con problemas de salud, que evaluada la situación planteada y habiendo conversado con la hija de la solicitante;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Que evaluado el contenido del Expediente mencionado por Comisión de Hacienda, la misma emite despacho en el marco de las Ordenanzas vigentes, despacho aprobado por unanimidad en Sesión Ordinaria de fecha 18 de Octubre de 2007.</w:t>
      </w:r>
    </w:p>
    <w:p>
      <w:pPr>
        <w:pStyle w:val="P3"/>
        <w:jc w:val="both"/>
        <w:rPr>
          <w:rFonts w:ascii="Courier New" w:hAnsi="Courier New" w:cs="Courier New"/>
          <w:b w:val="1"/>
          <w:bCs w:val="1"/>
        </w:rPr>
      </w:pPr>
    </w:p>
    <w:p>
      <w:pPr>
        <w:pStyle w:val="P3"/>
        <w:jc w:val="center"/>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right"/>
        <w:rPr>
          <w:rFonts w:ascii="Courier New" w:hAnsi="Courier New"/>
        </w:rPr>
      </w:pPr>
    </w:p>
    <w:p>
      <w:pPr>
        <w:pStyle w:val="P3"/>
        <w:ind w:hanging="709" w:left="709"/>
        <w:jc w:val="right"/>
        <w:rPr>
          <w:rFonts w:ascii="Courier New" w:hAnsi="Courier New"/>
        </w:rPr>
      </w:pPr>
      <w:r>
        <w:rPr>
          <w:rFonts w:ascii="Courier New" w:hAnsi="Courier New"/>
        </w:rPr>
        <w:t>...///</w:t>
      </w: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rPr>
      </w:pPr>
      <w:r>
        <w:rPr>
          <w:rFonts w:ascii="Courier New" w:hAnsi="Courier New"/>
        </w:rPr>
        <w:t>...///2.-</w:t>
      </w:r>
    </w:p>
    <w:p>
      <w:pPr>
        <w:pStyle w:val="P3"/>
        <w:ind w:hanging="709" w:left="709"/>
        <w:jc w:val="both"/>
        <w:rPr>
          <w:rFonts w:ascii="Courier New" w:hAnsi="Courier New"/>
          <w:b w:val="1"/>
          <w:bCs w:val="1"/>
          <w:u w:val="single"/>
        </w:rPr>
      </w:pPr>
    </w:p>
    <w:p>
      <w:pPr>
        <w:pStyle w:val="P3"/>
        <w:ind w:hanging="709" w:left="709"/>
        <w:jc w:val="both"/>
        <w:rPr>
          <w:rFonts w:ascii="Courier New" w:hAnsi="Courier New" w:cs="Courier New"/>
        </w:rPr>
      </w:pPr>
      <w:r>
        <w:rPr>
          <w:rFonts w:ascii="Courier New" w:hAnsi="Courier New" w:cs="Courier New"/>
          <w:b w:val="1"/>
          <w:bCs w:val="1"/>
          <w:u w:val="single"/>
        </w:rPr>
        <w:t>Art.1</w:t>
      </w:r>
      <w:r>
        <w:rPr>
          <w:rFonts w:ascii="Courier New" w:hAnsi="Courier New" w:cs="Courier New"/>
          <w:b w:val="1"/>
          <w:bCs w:val="1"/>
        </w:rPr>
        <w:t xml:space="preserve">: </w:t>
      </w:r>
      <w:r>
        <w:rPr>
          <w:rFonts w:ascii="Courier New" w:hAnsi="Courier New" w:cs="Courier New"/>
          <w:b w:val="1"/>
          <w:bCs w:val="1"/>
        </w:rPr>
        <w:t>AUTORÍZASE</w:t>
      </w:r>
      <w:r>
        <w:rPr>
          <w:rFonts w:ascii="Courier New" w:hAnsi="Courier New" w:cs="Courier New"/>
        </w:rPr>
        <w:t xml:space="preserve"> al Departamento Ejecutivo a otorgar a la Sra. María Elba Ledesma un Plan de Pagos a Valores Históricos en cuotas de cinco pesos ($5.-) por la deuda que la contribuyente mantiene con el Municipio en concepto de Tasa por Servicios de Administración y Mantenimiento de los Cementerios por la Identificación Nº 7633.</w:t>
      </w:r>
    </w:p>
    <w:p>
      <w:pPr>
        <w:pStyle w:val="P3"/>
        <w:ind w:hanging="709" w:left="709"/>
        <w:jc w:val="both"/>
        <w:rPr>
          <w:rFonts w:ascii="Courier New" w:hAnsi="Courier New" w:cs="Courier New"/>
        </w:rPr>
      </w:pPr>
    </w:p>
    <w:p>
      <w:pPr>
        <w:pStyle w:val="P5"/>
        <w:ind w:hanging="709" w:left="709"/>
        <w:jc w:val="both"/>
        <w:rPr>
          <w:sz w:val="24"/>
          <w:szCs w:val="24"/>
        </w:rPr>
      </w:pPr>
      <w:r>
        <w:rPr>
          <w:b w:val="1"/>
          <w:bCs w:val="1"/>
          <w:sz w:val="24"/>
          <w:szCs w:val="24"/>
          <w:u w:val="single"/>
        </w:rPr>
        <w:t>Art.2</w:t>
      </w:r>
      <w:r>
        <w:rPr>
          <w:b w:val="1"/>
          <w:bCs w:val="1"/>
          <w:sz w:val="24"/>
          <w:szCs w:val="24"/>
        </w:rPr>
        <w:t xml:space="preserve">: CADÚQUESE </w:t>
      </w:r>
      <w:r>
        <w:rPr>
          <w:sz w:val="24"/>
          <w:szCs w:val="24"/>
        </w:rPr>
        <w:t>en forma automática el beneficio otorgado en caso de registrarse la falta de pago de 2 cuotas consecutivas o 3 alternadas del Plan de Pagos o de la Tasa actual.</w:t>
      </w:r>
    </w:p>
    <w:p>
      <w:pPr>
        <w:pStyle w:val="P5"/>
        <w:ind w:hanging="709" w:left="709"/>
        <w:jc w:val="both"/>
        <w:rPr>
          <w:b w:val="1"/>
          <w:bCs w:val="1"/>
          <w:sz w:val="24"/>
          <w:szCs w:val="24"/>
        </w:rPr>
      </w:pPr>
    </w:p>
    <w:p>
      <w:pPr>
        <w:pStyle w:val="P5"/>
        <w:ind w:hanging="709" w:left="709"/>
        <w:jc w:val="both"/>
        <w:rPr>
          <w:b w:val="1"/>
          <w:bCs w:val="1"/>
          <w:sz w:val="24"/>
          <w:szCs w:val="24"/>
          <w:lang/>
        </w:rPr>
      </w:pPr>
      <w:r>
        <w:rPr>
          <w:b w:val="1"/>
          <w:bCs w:val="1"/>
          <w:sz w:val="24"/>
          <w:szCs w:val="24"/>
          <w:u w:val="single"/>
        </w:rPr>
        <w:t>Art.3</w:t>
      </w:r>
      <w:r>
        <w:rPr>
          <w:b w:val="1"/>
          <w:bCs w:val="1"/>
          <w:sz w:val="24"/>
          <w:szCs w:val="24"/>
        </w:rPr>
        <w:t>:</w:t>
      </w:r>
      <w:r>
        <w:rPr>
          <w:b w:val="1"/>
          <w:bCs w:val="1"/>
          <w:sz w:val="24"/>
          <w:szCs w:val="24"/>
          <w:lang/>
        </w:rPr>
        <w:t xml:space="preserve"> </w:t>
      </w:r>
      <w:r>
        <w:rPr>
          <w:b w:val="1"/>
          <w:bCs w:val="1"/>
          <w:sz w:val="24"/>
          <w:szCs w:val="24"/>
        </w:rPr>
        <w:t>EN</w:t>
      </w:r>
      <w:r>
        <w:rPr>
          <w:sz w:val="24"/>
          <w:szCs w:val="24"/>
        </w:rPr>
        <w:t xml:space="preserve"> caso de adeudarse caja de abogados por el juicio que se iniciara para el cobro de la deuda, se le otorgará a la contribuyente la posibilidad de abonarlo en cuotas que no superen los diez pesos ($10.-) por mes.</w:t>
      </w:r>
    </w:p>
    <w:p>
      <w:pPr>
        <w:pStyle w:val="P5"/>
        <w:ind w:hanging="709" w:left="709"/>
        <w:jc w:val="both"/>
        <w:rPr>
          <w:b w:val="1"/>
          <w:bCs w:val="1"/>
          <w:sz w:val="24"/>
          <w:szCs w:val="24"/>
          <w:lang/>
        </w:rPr>
      </w:pPr>
    </w:p>
    <w:p>
      <w:pPr>
        <w:pStyle w:val="P5"/>
        <w:ind w:hanging="709" w:left="709"/>
        <w:jc w:val="both"/>
        <w:rPr>
          <w:sz w:val="24"/>
          <w:szCs w:val="24"/>
          <w:lang/>
        </w:rPr>
      </w:pPr>
      <w:r>
        <w:rPr>
          <w:b w:val="1"/>
          <w:bCs w:val="1"/>
          <w:sz w:val="24"/>
          <w:szCs w:val="24"/>
          <w:u w:val="single"/>
          <w:lang/>
        </w:rPr>
        <w:t>Art.4</w:t>
      </w:r>
      <w:r>
        <w:rPr>
          <w:b w:val="1"/>
          <w:bCs w:val="1"/>
          <w:sz w:val="24"/>
          <w:szCs w:val="24"/>
          <w:lang/>
        </w:rPr>
        <w:t>: PROTOCOLÍCESE</w:t>
      </w:r>
      <w:r>
        <w:rPr>
          <w:sz w:val="24"/>
          <w:szCs w:val="24"/>
          <w:lang/>
        </w:rPr>
        <w:t>, comuníquese, publíquese en el Boletín Oficial de la Ciudad de Alta Gracia, transcríbase al libro de Ordenanzas y Archívese.</w:t>
      </w:r>
    </w:p>
    <w:p>
      <w:pPr>
        <w:pStyle w:val="P5"/>
        <w:ind w:hanging="709" w:left="709"/>
        <w:jc w:val="both"/>
        <w:rPr>
          <w:sz w:val="24"/>
          <w:szCs w:val="24"/>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DIECIOCHO DÍAS DEL MES DE OCTUBRE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4AF85567"/>
    <w:multiLevelType w:val="multilevel"/>
    <w:lvl w:ilvl="0">
      <w:start w:val="1"/>
      <w:numFmt w:val="upperLetter"/>
      <w:suff w:val="tab"/>
      <w:lvlText w:val="%1)"/>
      <w:lvlJc w:val="left"/>
      <w:pPr>
        <w:ind w:hanging="525" w:left="1233"/>
        <w:tabs>
          <w:tab w:val="num" w:pos="1233" w:leader="none"/>
        </w:tabs>
      </w:pPr>
      <w:rPr/>
    </w:lvl>
    <w:lvl w:ilvl="1">
      <w:start w:val="1"/>
      <w:numFmt w:val="lowerLetter"/>
      <w:suff w:val="tab"/>
      <w:lvlText w:val="%2."/>
      <w:lvlJc w:val="left"/>
      <w:pPr>
        <w:ind w:hanging="360" w:left="1788"/>
        <w:tabs>
          <w:tab w:val="num" w:pos="1788" w:leader="none"/>
        </w:tabs>
      </w:pPr>
      <w:rPr/>
    </w:lvl>
    <w:lvl w:ilvl="2">
      <w:start w:val="1"/>
      <w:numFmt w:val="lowerRoman"/>
      <w:suff w:val="tab"/>
      <w:lvlText w:val="%3."/>
      <w:lvlJc w:val="right"/>
      <w:pPr>
        <w:ind w:hanging="180" w:left="2508"/>
        <w:tabs>
          <w:tab w:val="num" w:pos="2508" w:leader="none"/>
        </w:tabs>
      </w:pPr>
      <w:rPr/>
    </w:lvl>
    <w:lvl w:ilvl="3">
      <w:start w:val="1"/>
      <w:numFmt w:val="decimal"/>
      <w:suff w:val="tab"/>
      <w:lvlText w:val="%4."/>
      <w:lvlJc w:val="left"/>
      <w:pPr>
        <w:ind w:hanging="360" w:left="3228"/>
        <w:tabs>
          <w:tab w:val="num" w:pos="3228" w:leader="none"/>
        </w:tabs>
      </w:pPr>
      <w:rPr/>
    </w:lvl>
    <w:lvl w:ilvl="4">
      <w:start w:val="1"/>
      <w:numFmt w:val="lowerLetter"/>
      <w:suff w:val="tab"/>
      <w:lvlText w:val="%5."/>
      <w:lvlJc w:val="left"/>
      <w:pPr>
        <w:ind w:hanging="360" w:left="3948"/>
        <w:tabs>
          <w:tab w:val="num" w:pos="3948" w:leader="none"/>
        </w:tabs>
      </w:pPr>
      <w:rPr/>
    </w:lvl>
    <w:lvl w:ilvl="5">
      <w:start w:val="1"/>
      <w:numFmt w:val="lowerRoman"/>
      <w:suff w:val="tab"/>
      <w:lvlText w:val="%6."/>
      <w:lvlJc w:val="right"/>
      <w:pPr>
        <w:ind w:hanging="180" w:left="4668"/>
        <w:tabs>
          <w:tab w:val="num" w:pos="4668" w:leader="none"/>
        </w:tabs>
      </w:pPr>
      <w:rPr/>
    </w:lvl>
    <w:lvl w:ilvl="6">
      <w:start w:val="1"/>
      <w:numFmt w:val="decimal"/>
      <w:suff w:val="tab"/>
      <w:lvlText w:val="%7."/>
      <w:lvlJc w:val="left"/>
      <w:pPr>
        <w:ind w:hanging="360" w:left="5388"/>
        <w:tabs>
          <w:tab w:val="num" w:pos="5388" w:leader="none"/>
        </w:tabs>
      </w:pPr>
      <w:rPr/>
    </w:lvl>
    <w:lvl w:ilvl="7">
      <w:start w:val="1"/>
      <w:numFmt w:val="lowerLetter"/>
      <w:suff w:val="tab"/>
      <w:lvlText w:val="%8."/>
      <w:lvlJc w:val="left"/>
      <w:pPr>
        <w:ind w:hanging="360" w:left="6108"/>
        <w:tabs>
          <w:tab w:val="num" w:pos="6108" w:leader="none"/>
        </w:tabs>
      </w:pPr>
      <w:rPr/>
    </w:lvl>
    <w:lvl w:ilvl="8">
      <w:start w:val="1"/>
      <w:numFmt w:val="lowerRoman"/>
      <w:suff w:val="tab"/>
      <w:lvlText w:val="%9."/>
      <w:lvlJc w:val="right"/>
      <w:pPr>
        <w:ind w:hanging="180" w:left="6828"/>
        <w:tabs>
          <w:tab w:val="num" w:pos="6828" w:leader="none"/>
        </w:tabs>
      </w:pPr>
      <w:rPr/>
    </w:lvl>
  </w:abstractNum>
  <w:abstractNum w:abstractNumId="3">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2026-07-09T18:49:05Z</dcterms:created>
  <cp:lastModifiedBy>Federico Parisi</cp:lastModifiedBy>
  <cp:lastPrinted>2007-10-24T12:04:00Z</cp:lastPrinted>
  <dcterms:modified xsi:type="dcterms:W3CDTF">2026-07-09T18:49:05Z</dcterms:modified>
  <cp:revision>2</cp:revision>
  <dc:title>P R O Y E C T O   D E   O R D E N A N Z A</dc:title>
</cp:coreProperties>
</file>